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18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"/>
        <w:gridCol w:w="2126"/>
        <w:gridCol w:w="1816"/>
        <w:gridCol w:w="1518"/>
        <w:gridCol w:w="1409"/>
        <w:gridCol w:w="140"/>
        <w:gridCol w:w="1801"/>
      </w:tblGrid>
      <w:tr w:rsidR="00654750" w:rsidRPr="00A01BDC" w:rsidTr="00E769C6">
        <w:tc>
          <w:tcPr>
            <w:tcW w:w="2234" w:type="dxa"/>
            <w:gridSpan w:val="2"/>
          </w:tcPr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b/>
                <w:sz w:val="24"/>
                <w:szCs w:val="24"/>
              </w:rPr>
              <w:t>Domain</w:t>
            </w:r>
          </w:p>
        </w:tc>
        <w:tc>
          <w:tcPr>
            <w:tcW w:w="3334" w:type="dxa"/>
            <w:gridSpan w:val="2"/>
          </w:tcPr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b/>
                <w:sz w:val="24"/>
                <w:szCs w:val="24"/>
              </w:rPr>
              <w:t>Data from all 12 Examiners</w:t>
            </w:r>
          </w:p>
        </w:tc>
        <w:tc>
          <w:tcPr>
            <w:tcW w:w="3350" w:type="dxa"/>
            <w:gridSpan w:val="3"/>
          </w:tcPr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b/>
                <w:sz w:val="24"/>
                <w:szCs w:val="24"/>
              </w:rPr>
              <w:t>Data from 11 examiners – excluding outlier</w:t>
            </w:r>
          </w:p>
        </w:tc>
      </w:tr>
      <w:tr w:rsidR="00654750" w:rsidRPr="00A01BDC" w:rsidTr="00E769C6">
        <w:tc>
          <w:tcPr>
            <w:tcW w:w="2234" w:type="dxa"/>
            <w:gridSpan w:val="2"/>
          </w:tcPr>
          <w:p w:rsidR="00654750" w:rsidRPr="00A01BDC" w:rsidRDefault="00654750" w:rsidP="00E769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16" w:type="dxa"/>
          </w:tcPr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b/>
                <w:sz w:val="24"/>
                <w:szCs w:val="24"/>
              </w:rPr>
              <w:t>Spearman’s Correlation coefficient</w:t>
            </w:r>
          </w:p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b/>
                <w:sz w:val="24"/>
                <w:szCs w:val="24"/>
              </w:rPr>
              <w:t>rho</w:t>
            </w:r>
          </w:p>
        </w:tc>
        <w:tc>
          <w:tcPr>
            <w:tcW w:w="1518" w:type="dxa"/>
          </w:tcPr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 </w:t>
            </w:r>
            <w:r w:rsidRPr="00A01BDC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</w:p>
        </w:tc>
        <w:tc>
          <w:tcPr>
            <w:tcW w:w="1549" w:type="dxa"/>
            <w:gridSpan w:val="2"/>
          </w:tcPr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b/>
                <w:sz w:val="24"/>
                <w:szCs w:val="24"/>
              </w:rPr>
              <w:t>Spearman’s Correlation coefficient</w:t>
            </w:r>
          </w:p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b/>
                <w:sz w:val="24"/>
                <w:szCs w:val="24"/>
              </w:rPr>
              <w:t>rho</w:t>
            </w:r>
          </w:p>
        </w:tc>
        <w:tc>
          <w:tcPr>
            <w:tcW w:w="1801" w:type="dxa"/>
          </w:tcPr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p </w:t>
            </w:r>
            <w:r w:rsidRPr="00A01BDC">
              <w:rPr>
                <w:rFonts w:ascii="Times New Roman" w:hAnsi="Times New Roman" w:cs="Times New Roman"/>
                <w:b/>
                <w:sz w:val="24"/>
                <w:szCs w:val="24"/>
              </w:rPr>
              <w:t>value</w:t>
            </w:r>
          </w:p>
        </w:tc>
      </w:tr>
      <w:tr w:rsidR="00654750" w:rsidRPr="00A01BDC" w:rsidTr="00E769C6">
        <w:tc>
          <w:tcPr>
            <w:tcW w:w="2234" w:type="dxa"/>
            <w:gridSpan w:val="2"/>
          </w:tcPr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sz w:val="24"/>
                <w:szCs w:val="24"/>
              </w:rPr>
              <w:t>Extraversion</w:t>
            </w:r>
          </w:p>
        </w:tc>
        <w:tc>
          <w:tcPr>
            <w:tcW w:w="1816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– 0.33</w:t>
            </w:r>
          </w:p>
        </w:tc>
        <w:tc>
          <w:tcPr>
            <w:tcW w:w="1518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549" w:type="dxa"/>
            <w:gridSpan w:val="2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0.53</w:t>
            </w:r>
          </w:p>
        </w:tc>
        <w:tc>
          <w:tcPr>
            <w:tcW w:w="1801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</w:tr>
      <w:tr w:rsidR="00654750" w:rsidRPr="00A01BDC" w:rsidTr="00E769C6">
        <w:tc>
          <w:tcPr>
            <w:tcW w:w="2234" w:type="dxa"/>
            <w:gridSpan w:val="2"/>
          </w:tcPr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sz w:val="24"/>
                <w:szCs w:val="24"/>
              </w:rPr>
              <w:t>Agreeableness</w:t>
            </w:r>
          </w:p>
        </w:tc>
        <w:tc>
          <w:tcPr>
            <w:tcW w:w="1816" w:type="dxa"/>
          </w:tcPr>
          <w:p w:rsidR="00654750" w:rsidRPr="00A01BDC" w:rsidRDefault="00654750" w:rsidP="00E769C6">
            <w:pPr>
              <w:pStyle w:val="ListParagraph"/>
              <w:autoSpaceDE w:val="0"/>
              <w:autoSpaceDN w:val="0"/>
              <w:adjustRightInd w:val="0"/>
              <w:spacing w:after="0" w:line="320" w:lineRule="atLeast"/>
              <w:ind w:left="42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518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0.90</w:t>
            </w:r>
          </w:p>
        </w:tc>
        <w:tc>
          <w:tcPr>
            <w:tcW w:w="1549" w:type="dxa"/>
            <w:gridSpan w:val="2"/>
          </w:tcPr>
          <w:p w:rsidR="00654750" w:rsidRPr="00A01BDC" w:rsidRDefault="00654750" w:rsidP="00E769C6">
            <w:pPr>
              <w:tabs>
                <w:tab w:val="center" w:pos="671"/>
                <w:tab w:val="right" w:pos="1283"/>
              </w:tabs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0.01</w:t>
            </w:r>
          </w:p>
        </w:tc>
        <w:tc>
          <w:tcPr>
            <w:tcW w:w="1801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</w:tr>
      <w:tr w:rsidR="00654750" w:rsidRPr="00A01BDC" w:rsidTr="00E769C6">
        <w:tc>
          <w:tcPr>
            <w:tcW w:w="2234" w:type="dxa"/>
            <w:gridSpan w:val="2"/>
          </w:tcPr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sz w:val="24"/>
                <w:szCs w:val="24"/>
              </w:rPr>
              <w:t>Conscientiousness</w:t>
            </w:r>
          </w:p>
        </w:tc>
        <w:tc>
          <w:tcPr>
            <w:tcW w:w="1816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– 0.34</w:t>
            </w:r>
          </w:p>
        </w:tc>
        <w:tc>
          <w:tcPr>
            <w:tcW w:w="1518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549" w:type="dxa"/>
            <w:gridSpan w:val="2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– 0.45</w:t>
            </w:r>
          </w:p>
        </w:tc>
        <w:tc>
          <w:tcPr>
            <w:tcW w:w="1801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</w:tr>
      <w:tr w:rsidR="00654750" w:rsidRPr="00A01BDC" w:rsidTr="00E769C6">
        <w:tc>
          <w:tcPr>
            <w:tcW w:w="2234" w:type="dxa"/>
            <w:gridSpan w:val="2"/>
          </w:tcPr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sz w:val="24"/>
                <w:szCs w:val="24"/>
              </w:rPr>
              <w:t>Neuroticism</w:t>
            </w:r>
          </w:p>
        </w:tc>
        <w:tc>
          <w:tcPr>
            <w:tcW w:w="1816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0.33</w:t>
            </w:r>
          </w:p>
        </w:tc>
        <w:tc>
          <w:tcPr>
            <w:tcW w:w="1518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549" w:type="dxa"/>
            <w:gridSpan w:val="2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0.73</w:t>
            </w:r>
          </w:p>
        </w:tc>
        <w:tc>
          <w:tcPr>
            <w:tcW w:w="1801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0.01*</w:t>
            </w:r>
          </w:p>
        </w:tc>
      </w:tr>
      <w:tr w:rsidR="00654750" w:rsidRPr="00A01BDC" w:rsidTr="00E769C6">
        <w:tc>
          <w:tcPr>
            <w:tcW w:w="2234" w:type="dxa"/>
            <w:gridSpan w:val="2"/>
          </w:tcPr>
          <w:p w:rsidR="00654750" w:rsidRPr="00A01BDC" w:rsidRDefault="00654750" w:rsidP="00E769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sz w:val="24"/>
                <w:szCs w:val="24"/>
              </w:rPr>
              <w:t>Openness to Experience</w:t>
            </w:r>
          </w:p>
        </w:tc>
        <w:tc>
          <w:tcPr>
            <w:tcW w:w="1816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0.27</w:t>
            </w:r>
          </w:p>
        </w:tc>
        <w:tc>
          <w:tcPr>
            <w:tcW w:w="1518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549" w:type="dxa"/>
            <w:gridSpan w:val="2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0.66</w:t>
            </w:r>
          </w:p>
        </w:tc>
        <w:tc>
          <w:tcPr>
            <w:tcW w:w="1801" w:type="dxa"/>
          </w:tcPr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1B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0.03*</w:t>
            </w:r>
          </w:p>
        </w:tc>
      </w:tr>
      <w:tr w:rsidR="00654750" w:rsidRPr="00A01BDC" w:rsidTr="00E769C6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2"/>
          <w:wBefore w:w="108" w:type="dxa"/>
          <w:wAfter w:w="1941" w:type="dxa"/>
          <w:cantSplit/>
        </w:trPr>
        <w:tc>
          <w:tcPr>
            <w:tcW w:w="6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654750" w:rsidRPr="00841D91" w:rsidRDefault="00654750" w:rsidP="00654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D91">
              <w:rPr>
                <w:rFonts w:ascii="Times New Roman" w:hAnsi="Times New Roman" w:cs="Times New Roman"/>
                <w:sz w:val="24"/>
                <w:szCs w:val="24"/>
              </w:rPr>
              <w:t xml:space="preserve">Table 3 Relationship between examiner scores and examiner personality factors </w:t>
            </w:r>
          </w:p>
          <w:p w:rsidR="00654750" w:rsidRPr="00841D91" w:rsidRDefault="00654750" w:rsidP="00654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41D91">
              <w:rPr>
                <w:rFonts w:ascii="Times New Roman" w:hAnsi="Times New Roman" w:cs="Times New Roman"/>
                <w:sz w:val="24"/>
                <w:szCs w:val="24"/>
              </w:rPr>
              <w:t>* denotes a statistically significant correlation</w:t>
            </w:r>
          </w:p>
          <w:p w:rsidR="00654750" w:rsidRPr="00A01BDC" w:rsidRDefault="00654750" w:rsidP="00E769C6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6E7A17" w:rsidRDefault="006E7A17"/>
    <w:sectPr w:rsidR="006E7A17" w:rsidSect="006E7A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54750"/>
    <w:rsid w:val="002401EA"/>
    <w:rsid w:val="00654750"/>
    <w:rsid w:val="006E7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47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7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>NUI Galway</Company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Solutions &amp; Services</dc:creator>
  <cp:keywords/>
  <dc:description/>
  <cp:lastModifiedBy>Information Solutions &amp; Services</cp:lastModifiedBy>
  <cp:revision>1</cp:revision>
  <dcterms:created xsi:type="dcterms:W3CDTF">2014-11-19T17:27:00Z</dcterms:created>
  <dcterms:modified xsi:type="dcterms:W3CDTF">2014-11-19T17:28:00Z</dcterms:modified>
</cp:coreProperties>
</file>