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A0E" w:rsidRPr="00EF509A" w:rsidRDefault="00EF509A" w:rsidP="00F46A0E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Additional file</w:t>
      </w:r>
      <w:bookmarkStart w:id="0" w:name="_GoBack"/>
      <w:bookmarkEnd w:id="0"/>
      <w:r w:rsidR="00F46A0E">
        <w:rPr>
          <w:rFonts w:ascii="Times New Roman" w:eastAsiaTheme="minorEastAsia" w:hAnsi="Times New Roman" w:cs="Times New Roman"/>
          <w:sz w:val="24"/>
          <w:szCs w:val="24"/>
        </w:rPr>
        <w:t xml:space="preserve"> 1</w:t>
      </w:r>
      <w:r w:rsidR="00F46A0E" w:rsidRPr="009C7D41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F46A0E" w:rsidRPr="00107AE3">
        <w:rPr>
          <w:rFonts w:ascii="Times New Roman" w:eastAsiaTheme="minorEastAsia" w:hAnsi="Times New Roman" w:cs="Times New Roman"/>
          <w:b/>
          <w:sz w:val="24"/>
          <w:szCs w:val="24"/>
        </w:rPr>
        <w:t xml:space="preserve">Associations between response to attitudinal questions and intention to do research against age, Pre-Clinical, Post-Clinical, Pre-CR and Post-CR stages in the medical program. </w:t>
      </w:r>
    </w:p>
    <w:tbl>
      <w:tblPr>
        <w:tblStyle w:val="TableGrid"/>
        <w:tblW w:w="5000" w:type="pct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114"/>
        <w:gridCol w:w="1634"/>
        <w:gridCol w:w="1634"/>
        <w:gridCol w:w="1635"/>
        <w:gridCol w:w="1635"/>
        <w:gridCol w:w="1635"/>
        <w:gridCol w:w="1635"/>
        <w:gridCol w:w="1635"/>
        <w:gridCol w:w="1632"/>
      </w:tblGrid>
      <w:tr w:rsidR="00F46A0E" w:rsidRPr="009C7D41" w:rsidTr="00107AE3">
        <w:tc>
          <w:tcPr>
            <w:tcW w:w="393" w:type="pct"/>
            <w:shd w:val="clear" w:color="auto" w:fill="auto"/>
            <w:vAlign w:val="bottom"/>
          </w:tcPr>
          <w:p w:rsidR="00F46A0E" w:rsidRPr="009C7D41" w:rsidRDefault="00F46A0E" w:rsidP="00F84E63">
            <w:pPr>
              <w:tabs>
                <w:tab w:val="left" w:pos="93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</w:p>
        </w:tc>
        <w:tc>
          <w:tcPr>
            <w:tcW w:w="576" w:type="pct"/>
            <w:shd w:val="clear" w:color="auto" w:fill="auto"/>
            <w:vAlign w:val="bottom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Research prior to medical school</w:t>
            </w:r>
          </w:p>
        </w:tc>
        <w:tc>
          <w:tcPr>
            <w:tcW w:w="576" w:type="pct"/>
            <w:shd w:val="clear" w:color="auto" w:fill="auto"/>
            <w:vAlign w:val="bottom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576" w:type="pct"/>
            <w:shd w:val="clear" w:color="auto" w:fill="auto"/>
            <w:vAlign w:val="bottom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Conducting Research is advantageous for medical career</w:t>
            </w:r>
          </w:p>
        </w:tc>
        <w:tc>
          <w:tcPr>
            <w:tcW w:w="576" w:type="pct"/>
            <w:shd w:val="clear" w:color="auto" w:fill="auto"/>
            <w:vAlign w:val="bottom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Research only suited to those wanting an academic career</w:t>
            </w:r>
          </w:p>
        </w:tc>
        <w:tc>
          <w:tcPr>
            <w:tcW w:w="576" w:type="pct"/>
            <w:shd w:val="clear" w:color="auto" w:fill="auto"/>
            <w:vAlign w:val="bottom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A research career is difficult to combine with a clinical career</w:t>
            </w:r>
          </w:p>
        </w:tc>
        <w:tc>
          <w:tcPr>
            <w:tcW w:w="576" w:type="pct"/>
            <w:shd w:val="clear" w:color="auto" w:fill="auto"/>
            <w:vAlign w:val="bottom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Research is important for keeping up to date in clinical field</w:t>
            </w:r>
          </w:p>
        </w:tc>
        <w:tc>
          <w:tcPr>
            <w:tcW w:w="576" w:type="pct"/>
            <w:shd w:val="clear" w:color="auto" w:fill="auto"/>
            <w:vAlign w:val="bottom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Research means a lower salary</w:t>
            </w:r>
          </w:p>
        </w:tc>
        <w:tc>
          <w:tcPr>
            <w:tcW w:w="576" w:type="pct"/>
            <w:shd w:val="clear" w:color="auto" w:fill="auto"/>
            <w:vAlign w:val="bottom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Bureaucracy surrounding research is a significant deterrent</w:t>
            </w:r>
          </w:p>
        </w:tc>
      </w:tr>
      <w:tr w:rsidR="00F46A0E" w:rsidRPr="009C7D41" w:rsidTr="00107AE3">
        <w:tc>
          <w:tcPr>
            <w:tcW w:w="393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Yr 1</w:t>
            </w:r>
          </w:p>
          <w:p w:rsidR="00F46A0E" w:rsidRPr="009C7D41" w:rsidRDefault="00F46A0E" w:rsidP="00F84E63">
            <w:pPr>
              <w:tabs>
                <w:tab w:val="left" w:pos="93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-0.132,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0.14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0.211,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0.02*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-0.235,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0.01**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0.208,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0.02*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0.304,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0.001***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-0.321,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0.001***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0.078,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0.38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0.030,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0.74</w:t>
            </w:r>
          </w:p>
        </w:tc>
      </w:tr>
      <w:tr w:rsidR="00F46A0E" w:rsidRPr="009C7D41" w:rsidTr="00107AE3">
        <w:tc>
          <w:tcPr>
            <w:tcW w:w="393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Yr 2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-0.170,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0.02*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0.003,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0.97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-0.493,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0.001***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0.204,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0.01**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0.156,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0.03*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-0.305,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0.001***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0.214,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0.01**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0.114,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0.11</w:t>
            </w:r>
          </w:p>
        </w:tc>
      </w:tr>
      <w:tr w:rsidR="00F46A0E" w:rsidRPr="009C7D41" w:rsidTr="00107AE3">
        <w:tc>
          <w:tcPr>
            <w:tcW w:w="393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Yr 3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-0.145,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0.21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0.114,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0.33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-0.342,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0.01**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0.271,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0.02*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0.111,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0.35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-0.299,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 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= 0.01*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0.040,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0.74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0.199,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0.09</w:t>
            </w:r>
          </w:p>
        </w:tc>
      </w:tr>
      <w:tr w:rsidR="00F46A0E" w:rsidRPr="009C7D41" w:rsidTr="00107AE3">
        <w:tc>
          <w:tcPr>
            <w:tcW w:w="393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Yr 4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-0.246,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0.09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-0.181,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0.22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-0.442,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0.01**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0.390,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0.01**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0.212,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0.15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-0.323,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0.03*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-0.134,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0.37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0.351,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 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= 0.01*</w:t>
            </w:r>
          </w:p>
        </w:tc>
      </w:tr>
      <w:tr w:rsidR="00F46A0E" w:rsidRPr="009C7D41" w:rsidTr="00107AE3">
        <w:tc>
          <w:tcPr>
            <w:tcW w:w="393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Yr 5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-0.200,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0.02*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0.091,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0.31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-0.385,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0.001***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0.410,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0.001***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0.235,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0.01**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-0.294,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0.001**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-0.019,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0.83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0.233,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0.01**</w:t>
            </w:r>
          </w:p>
        </w:tc>
      </w:tr>
      <w:tr w:rsidR="00F46A0E" w:rsidRPr="009C7D41" w:rsidTr="00107AE3">
        <w:trPr>
          <w:trHeight w:val="188"/>
        </w:trPr>
        <w:tc>
          <w:tcPr>
            <w:tcW w:w="393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Pre-Clinical 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-0.161,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0.02*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0.125,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 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= 0.06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-0.363,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0.001***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0.203,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0.01**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0.217,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0.001***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-0.313,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0.001***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0.137,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0.04*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0.070,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0.23</w:t>
            </w:r>
          </w:p>
        </w:tc>
      </w:tr>
      <w:tr w:rsidR="00F46A0E" w:rsidRPr="009C7D41" w:rsidTr="00107AE3">
        <w:tc>
          <w:tcPr>
            <w:tcW w:w="393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Clinical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-0.221,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0.001***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0.071,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0.52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-0.347,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0.001***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0.359,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 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&lt; 0.001***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0.203,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0.01**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-0.277,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0.001***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-0.021,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0.75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0.210,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 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= 0.001***</w:t>
            </w:r>
          </w:p>
        </w:tc>
      </w:tr>
      <w:tr w:rsidR="00F46A0E" w:rsidRPr="009C7D41" w:rsidTr="00107AE3">
        <w:tc>
          <w:tcPr>
            <w:tcW w:w="393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Pre-CR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-0.165,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0.01**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0.073,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0.14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-0.363,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0.001***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0.225,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0.001***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0.201,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0.001***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-0.289,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0.001***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0.066,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 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= 0.21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0.070,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0.24</w:t>
            </w:r>
          </w:p>
        </w:tc>
      </w:tr>
      <w:tr w:rsidR="00F46A0E" w:rsidRPr="009C7D41" w:rsidTr="00107AE3">
        <w:tc>
          <w:tcPr>
            <w:tcW w:w="393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Post-CR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-0.217,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0.01**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0.049,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 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= 0.52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-0.346,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0.001***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0.385,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0.001***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0.229,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 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&lt; 0.01**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-0.264,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&lt;0.001***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-0.091,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0.23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0.248,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0.001***</w:t>
            </w:r>
          </w:p>
        </w:tc>
      </w:tr>
      <w:tr w:rsidR="00F46A0E" w:rsidRPr="009C7D41" w:rsidTr="00107AE3">
        <w:tc>
          <w:tcPr>
            <w:tcW w:w="393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  <w:p w:rsidR="00F46A0E" w:rsidRPr="009C7D41" w:rsidRDefault="00F46A0E" w:rsidP="00F84E63">
            <w:pPr>
              <w:tabs>
                <w:tab w:val="left" w:pos="93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-0.260,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0.001***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0.019,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0.68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-0.383,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0.001***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0.278,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0.001***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0.226,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 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&lt; 0.001***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-0.265,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&lt; 0.001***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0.030,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 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= 0.51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>0.081,</w:t>
            </w:r>
          </w:p>
          <w:p w:rsidR="00F46A0E" w:rsidRPr="009C7D41" w:rsidRDefault="00F46A0E" w:rsidP="00F84E63">
            <w:pPr>
              <w:tabs>
                <w:tab w:val="left" w:pos="93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D4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9C7D41">
              <w:rPr>
                <w:rFonts w:ascii="Times New Roman" w:hAnsi="Times New Roman" w:cs="Times New Roman"/>
                <w:sz w:val="20"/>
                <w:szCs w:val="20"/>
              </w:rPr>
              <w:t xml:space="preserve"> = 0.08</w:t>
            </w:r>
          </w:p>
        </w:tc>
      </w:tr>
    </w:tbl>
    <w:p w:rsidR="00F46A0E" w:rsidRPr="009C7D41" w:rsidRDefault="00F46A0E" w:rsidP="00F46A0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9C7D41">
        <w:rPr>
          <w:rFonts w:ascii="Times New Roman" w:eastAsiaTheme="minorEastAsia" w:hAnsi="Times New Roman" w:cs="Times New Roman"/>
          <w:sz w:val="20"/>
          <w:szCs w:val="20"/>
        </w:rPr>
        <w:t xml:space="preserve">* indicates significance at the </w:t>
      </w:r>
      <w:r w:rsidRPr="009C7D41">
        <w:rPr>
          <w:rFonts w:ascii="Times New Roman" w:eastAsiaTheme="minorEastAsia" w:hAnsi="Times New Roman" w:cs="Times New Roman"/>
          <w:i/>
          <w:sz w:val="20"/>
          <w:szCs w:val="20"/>
        </w:rPr>
        <w:t>p</w:t>
      </w:r>
      <w:r w:rsidRPr="009C7D41">
        <w:rPr>
          <w:rFonts w:ascii="Times New Roman" w:eastAsiaTheme="minorEastAsia" w:hAnsi="Times New Roman" w:cs="Times New Roman"/>
          <w:sz w:val="20"/>
          <w:szCs w:val="20"/>
        </w:rPr>
        <w:t xml:space="preserve"> &lt; 0.05 level.  **indicates significance at the </w:t>
      </w:r>
      <w:r w:rsidRPr="009C7D41">
        <w:rPr>
          <w:rFonts w:ascii="Times New Roman" w:eastAsiaTheme="minorEastAsia" w:hAnsi="Times New Roman" w:cs="Times New Roman"/>
          <w:i/>
          <w:sz w:val="20"/>
          <w:szCs w:val="20"/>
        </w:rPr>
        <w:t>p</w:t>
      </w:r>
      <w:r w:rsidRPr="009C7D41">
        <w:rPr>
          <w:rFonts w:ascii="Times New Roman" w:eastAsiaTheme="minorEastAsia" w:hAnsi="Times New Roman" w:cs="Times New Roman"/>
          <w:sz w:val="20"/>
          <w:szCs w:val="20"/>
        </w:rPr>
        <w:t xml:space="preserve"> &lt; 0.01 level.  *** indicates significance at the </w:t>
      </w:r>
      <w:r w:rsidRPr="009C7D41">
        <w:rPr>
          <w:rFonts w:ascii="Times New Roman" w:eastAsiaTheme="minorEastAsia" w:hAnsi="Times New Roman" w:cs="Times New Roman"/>
          <w:i/>
          <w:sz w:val="20"/>
          <w:szCs w:val="20"/>
        </w:rPr>
        <w:t>p</w:t>
      </w:r>
      <w:r w:rsidRPr="009C7D41">
        <w:rPr>
          <w:rFonts w:ascii="Times New Roman" w:eastAsiaTheme="minorEastAsia" w:hAnsi="Times New Roman" w:cs="Times New Roman"/>
          <w:sz w:val="20"/>
          <w:szCs w:val="20"/>
        </w:rPr>
        <w:t xml:space="preserve"> &lt; 0.001 level.  Associations are r</w:t>
      </w:r>
      <w:r w:rsidRPr="009C7D41">
        <w:rPr>
          <w:rFonts w:ascii="Times New Roman" w:eastAsiaTheme="minorEastAsia" w:hAnsi="Times New Roman" w:cs="Times New Roman"/>
          <w:sz w:val="20"/>
          <w:szCs w:val="20"/>
          <w:vertAlign w:val="subscript"/>
        </w:rPr>
        <w:t>s</w:t>
      </w:r>
      <w:r w:rsidRPr="009C7D41">
        <w:rPr>
          <w:rFonts w:ascii="Times New Roman" w:eastAsiaTheme="minorEastAsia" w:hAnsi="Times New Roman" w:cs="Times New Roman"/>
          <w:sz w:val="20"/>
          <w:szCs w:val="20"/>
        </w:rPr>
        <w:t xml:space="preserve"> from Spearman’s rho.  Positive</w:t>
      </w:r>
      <w:r>
        <w:rPr>
          <w:rFonts w:ascii="Times New Roman" w:eastAsiaTheme="minorEastAsia" w:hAnsi="Times New Roman" w:cs="Times New Roman"/>
          <w:sz w:val="20"/>
          <w:szCs w:val="20"/>
        </w:rPr>
        <w:t xml:space="preserve"> associations indicate that LESS</w:t>
      </w:r>
      <w:r w:rsidRPr="009C7D41">
        <w:rPr>
          <w:rFonts w:ascii="Times New Roman" w:eastAsiaTheme="minorEastAsia" w:hAnsi="Times New Roman" w:cs="Times New Roman"/>
          <w:sz w:val="20"/>
          <w:szCs w:val="20"/>
        </w:rPr>
        <w:t xml:space="preserve"> agreement with the attitude question was associated with higher percent intention to pursue research following degree.  Neg</w:t>
      </w:r>
      <w:r>
        <w:rPr>
          <w:rFonts w:ascii="Times New Roman" w:eastAsiaTheme="minorEastAsia" w:hAnsi="Times New Roman" w:cs="Times New Roman"/>
          <w:sz w:val="20"/>
          <w:szCs w:val="20"/>
        </w:rPr>
        <w:t>ative associations indicate MORE</w:t>
      </w:r>
      <w:r w:rsidRPr="009C7D41">
        <w:rPr>
          <w:rFonts w:ascii="Times New Roman" w:eastAsiaTheme="minorEastAsia" w:hAnsi="Times New Roman" w:cs="Times New Roman"/>
          <w:sz w:val="20"/>
          <w:szCs w:val="20"/>
        </w:rPr>
        <w:t xml:space="preserve"> agreement with the attitude question was associated with higher percent intention to pursue research following degree.  </w:t>
      </w:r>
    </w:p>
    <w:p w:rsidR="00135A52" w:rsidRDefault="00135A52"/>
    <w:sectPr w:rsidR="00135A52" w:rsidSect="00107AE3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A0E"/>
    <w:rsid w:val="00107AE3"/>
    <w:rsid w:val="00135A52"/>
    <w:rsid w:val="00842B4F"/>
    <w:rsid w:val="00B812C1"/>
    <w:rsid w:val="00D078F6"/>
    <w:rsid w:val="00EF509A"/>
    <w:rsid w:val="00F4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A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6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A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6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Human Ecology, Kansas State University</Company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Rosenkranz</dc:creator>
  <cp:lastModifiedBy>Abella, Jerard Dave</cp:lastModifiedBy>
  <cp:revision>3</cp:revision>
  <dcterms:created xsi:type="dcterms:W3CDTF">2015-01-30T19:18:00Z</dcterms:created>
  <dcterms:modified xsi:type="dcterms:W3CDTF">2015-06-19T08:12:00Z</dcterms:modified>
</cp:coreProperties>
</file>