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925" w:rsidRPr="00B8718F" w:rsidRDefault="00B8718F" w:rsidP="00C43CBD">
      <w:pPr>
        <w:ind w:firstLine="0"/>
        <w:jc w:val="center"/>
        <w:rPr>
          <w:b/>
        </w:rPr>
      </w:pPr>
      <w:r>
        <w:rPr>
          <w:b/>
        </w:rPr>
        <w:t xml:space="preserve">Appendix D: A </w:t>
      </w:r>
      <w:r w:rsidRPr="00B8718F">
        <w:rPr>
          <w:b/>
        </w:rPr>
        <w:t>VPS Typology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7"/>
        <w:gridCol w:w="1228"/>
        <w:gridCol w:w="5573"/>
      </w:tblGrid>
      <w:tr w:rsidR="00A877CD" w:rsidTr="00C43CBD">
        <w:trPr>
          <w:trHeight w:val="332"/>
        </w:trPr>
        <w:tc>
          <w:tcPr>
            <w:tcW w:w="1417" w:type="dxa"/>
            <w:vMerge w:val="restart"/>
          </w:tcPr>
          <w:p w:rsidR="00A877CD" w:rsidRPr="00A877CD" w:rsidRDefault="00A877CD" w:rsidP="00D86925">
            <w:pPr>
              <w:ind w:firstLine="0"/>
              <w:rPr>
                <w:b/>
              </w:rPr>
            </w:pPr>
            <w:r w:rsidRPr="00A877CD">
              <w:rPr>
                <w:b/>
              </w:rPr>
              <w:t>General</w:t>
            </w:r>
          </w:p>
        </w:tc>
        <w:tc>
          <w:tcPr>
            <w:tcW w:w="1228" w:type="dxa"/>
          </w:tcPr>
          <w:p w:rsidR="00A877CD" w:rsidRDefault="00A877CD" w:rsidP="00A877CD">
            <w:pPr>
              <w:ind w:firstLine="0"/>
            </w:pPr>
            <w:r>
              <w:t>Title</w:t>
            </w:r>
          </w:p>
        </w:tc>
        <w:tc>
          <w:tcPr>
            <w:tcW w:w="5573" w:type="dxa"/>
          </w:tcPr>
          <w:p w:rsidR="00A877CD" w:rsidRDefault="00A877CD" w:rsidP="00A877CD">
            <w:pPr>
              <w:spacing w:line="240" w:lineRule="auto"/>
              <w:ind w:firstLine="0"/>
            </w:pPr>
            <w:r>
              <w:t>Virtual patient case practice in Decision Sim. Recently, these VPS have evolved to be part of the Virtual Community Health Center.</w:t>
            </w:r>
          </w:p>
        </w:tc>
      </w:tr>
      <w:tr w:rsidR="00A877CD" w:rsidTr="00C43CBD">
        <w:tc>
          <w:tcPr>
            <w:tcW w:w="1417" w:type="dxa"/>
            <w:vMerge/>
          </w:tcPr>
          <w:p w:rsidR="00A877CD" w:rsidRPr="00A877CD" w:rsidRDefault="00A877CD" w:rsidP="00D86925">
            <w:pPr>
              <w:ind w:firstLine="0"/>
              <w:rPr>
                <w:b/>
              </w:rPr>
            </w:pPr>
          </w:p>
        </w:tc>
        <w:tc>
          <w:tcPr>
            <w:tcW w:w="1228" w:type="dxa"/>
          </w:tcPr>
          <w:p w:rsidR="00A877CD" w:rsidRDefault="00A877CD" w:rsidP="00D86925">
            <w:pPr>
              <w:ind w:firstLine="0"/>
            </w:pPr>
            <w:r>
              <w:t>Description</w:t>
            </w:r>
          </w:p>
        </w:tc>
        <w:tc>
          <w:tcPr>
            <w:tcW w:w="5573" w:type="dxa"/>
          </w:tcPr>
          <w:p w:rsidR="00A877CD" w:rsidRDefault="00A877CD" w:rsidP="00D86925">
            <w:pPr>
              <w:ind w:firstLine="0"/>
            </w:pPr>
            <w:r>
              <w:t>Free text</w:t>
            </w:r>
          </w:p>
        </w:tc>
      </w:tr>
      <w:tr w:rsidR="00A877CD" w:rsidTr="00C43CBD">
        <w:tc>
          <w:tcPr>
            <w:tcW w:w="1417" w:type="dxa"/>
            <w:vMerge/>
          </w:tcPr>
          <w:p w:rsidR="00A877CD" w:rsidRPr="00A877CD" w:rsidRDefault="00A877CD" w:rsidP="00D86925">
            <w:pPr>
              <w:ind w:firstLine="0"/>
              <w:rPr>
                <w:b/>
              </w:rPr>
            </w:pPr>
          </w:p>
        </w:tc>
        <w:tc>
          <w:tcPr>
            <w:tcW w:w="1228" w:type="dxa"/>
          </w:tcPr>
          <w:p w:rsidR="00A877CD" w:rsidRDefault="00A877CD" w:rsidP="00D86925">
            <w:pPr>
              <w:ind w:firstLine="0"/>
            </w:pPr>
            <w:r>
              <w:t>Language</w:t>
            </w:r>
          </w:p>
        </w:tc>
        <w:tc>
          <w:tcPr>
            <w:tcW w:w="5573" w:type="dxa"/>
          </w:tcPr>
          <w:p w:rsidR="00A877CD" w:rsidRDefault="00A877CD" w:rsidP="00D86925">
            <w:pPr>
              <w:ind w:firstLine="0"/>
            </w:pPr>
            <w:r>
              <w:t>English</w:t>
            </w:r>
          </w:p>
        </w:tc>
      </w:tr>
      <w:tr w:rsidR="00A877CD" w:rsidTr="00C43CBD">
        <w:tc>
          <w:tcPr>
            <w:tcW w:w="1417" w:type="dxa"/>
            <w:vMerge w:val="restart"/>
          </w:tcPr>
          <w:p w:rsidR="00A877CD" w:rsidRPr="00A877CD" w:rsidRDefault="00A877CD" w:rsidP="00D86925">
            <w:pPr>
              <w:ind w:firstLine="0"/>
              <w:rPr>
                <w:b/>
              </w:rPr>
            </w:pPr>
            <w:r w:rsidRPr="00A877CD">
              <w:rPr>
                <w:b/>
              </w:rPr>
              <w:t>Educational</w:t>
            </w:r>
          </w:p>
        </w:tc>
        <w:tc>
          <w:tcPr>
            <w:tcW w:w="1228" w:type="dxa"/>
          </w:tcPr>
          <w:p w:rsidR="00A877CD" w:rsidRDefault="00A877CD" w:rsidP="00D86925">
            <w:pPr>
              <w:ind w:firstLine="0"/>
            </w:pPr>
            <w:r>
              <w:t>Level</w:t>
            </w:r>
          </w:p>
        </w:tc>
        <w:tc>
          <w:tcPr>
            <w:tcW w:w="5573" w:type="dxa"/>
          </w:tcPr>
          <w:p w:rsidR="00A877CD" w:rsidRDefault="003532D4" w:rsidP="003532D4">
            <w:pPr>
              <w:ind w:firstLine="0"/>
            </w:pPr>
            <w:r>
              <w:t xml:space="preserve">Designed to be adapted for use during all years of </w:t>
            </w:r>
            <w:r w:rsidR="00A877CD">
              <w:t>medical school</w:t>
            </w:r>
            <w:r>
              <w:t>.</w:t>
            </w:r>
          </w:p>
        </w:tc>
      </w:tr>
      <w:tr w:rsidR="00A877CD" w:rsidTr="00C43CBD">
        <w:tc>
          <w:tcPr>
            <w:tcW w:w="1417" w:type="dxa"/>
            <w:vMerge/>
          </w:tcPr>
          <w:p w:rsidR="00A877CD" w:rsidRDefault="00A877CD" w:rsidP="00D86925">
            <w:pPr>
              <w:ind w:firstLine="0"/>
            </w:pPr>
          </w:p>
        </w:tc>
        <w:tc>
          <w:tcPr>
            <w:tcW w:w="1228" w:type="dxa"/>
          </w:tcPr>
          <w:p w:rsidR="00A877CD" w:rsidRDefault="00A877CD" w:rsidP="00D86925">
            <w:pPr>
              <w:ind w:firstLine="0"/>
            </w:pPr>
            <w:r>
              <w:t>Modes</w:t>
            </w:r>
          </w:p>
        </w:tc>
        <w:tc>
          <w:tcPr>
            <w:tcW w:w="5573" w:type="dxa"/>
          </w:tcPr>
          <w:p w:rsidR="00A877CD" w:rsidRDefault="00A877CD" w:rsidP="00D86925">
            <w:pPr>
              <w:ind w:firstLine="0"/>
            </w:pPr>
            <w:r>
              <w:t>Learning, formative assessment, deliberate practice</w:t>
            </w:r>
          </w:p>
        </w:tc>
      </w:tr>
      <w:tr w:rsidR="00A877CD" w:rsidTr="00C43CBD">
        <w:tc>
          <w:tcPr>
            <w:tcW w:w="1417" w:type="dxa"/>
            <w:vMerge/>
          </w:tcPr>
          <w:p w:rsidR="00A877CD" w:rsidRDefault="00A877CD" w:rsidP="00D86925">
            <w:pPr>
              <w:ind w:firstLine="0"/>
            </w:pPr>
          </w:p>
        </w:tc>
        <w:tc>
          <w:tcPr>
            <w:tcW w:w="1228" w:type="dxa"/>
          </w:tcPr>
          <w:p w:rsidR="00A877CD" w:rsidRDefault="00A877CD" w:rsidP="00D86925">
            <w:pPr>
              <w:ind w:firstLine="0"/>
            </w:pPr>
            <w:r>
              <w:t>Coverage</w:t>
            </w:r>
          </w:p>
        </w:tc>
        <w:tc>
          <w:tcPr>
            <w:tcW w:w="5573" w:type="dxa"/>
          </w:tcPr>
          <w:p w:rsidR="00A877CD" w:rsidRDefault="00A877CD" w:rsidP="00D86925">
            <w:pPr>
              <w:ind w:firstLine="0"/>
            </w:pPr>
            <w:r>
              <w:t>Limb pain, regional back pain, seizure, dizziness</w:t>
            </w:r>
          </w:p>
        </w:tc>
      </w:tr>
      <w:tr w:rsidR="00A877CD" w:rsidTr="00C43CBD">
        <w:tc>
          <w:tcPr>
            <w:tcW w:w="1417" w:type="dxa"/>
            <w:vMerge/>
          </w:tcPr>
          <w:p w:rsidR="00A877CD" w:rsidRDefault="00A877CD" w:rsidP="00D86925">
            <w:pPr>
              <w:ind w:firstLine="0"/>
            </w:pPr>
          </w:p>
        </w:tc>
        <w:tc>
          <w:tcPr>
            <w:tcW w:w="1228" w:type="dxa"/>
          </w:tcPr>
          <w:p w:rsidR="00A877CD" w:rsidRDefault="00A877CD" w:rsidP="00A877CD">
            <w:pPr>
              <w:spacing w:line="240" w:lineRule="auto"/>
              <w:ind w:firstLine="0"/>
            </w:pPr>
            <w:r>
              <w:t>Objectives and outcomes</w:t>
            </w:r>
          </w:p>
        </w:tc>
        <w:tc>
          <w:tcPr>
            <w:tcW w:w="5573" w:type="dxa"/>
          </w:tcPr>
          <w:p w:rsidR="00A877CD" w:rsidRDefault="00A877CD" w:rsidP="00D86925">
            <w:pPr>
              <w:ind w:firstLine="0"/>
            </w:pPr>
            <w:r>
              <w:t>See Fig. 1 below.</w:t>
            </w:r>
          </w:p>
        </w:tc>
      </w:tr>
      <w:tr w:rsidR="00B8718F" w:rsidTr="00C43CBD">
        <w:tc>
          <w:tcPr>
            <w:tcW w:w="1417" w:type="dxa"/>
            <w:vMerge w:val="restart"/>
          </w:tcPr>
          <w:p w:rsidR="00B8718F" w:rsidRPr="00A877CD" w:rsidRDefault="00B8718F" w:rsidP="00A877CD">
            <w:pPr>
              <w:spacing w:line="240" w:lineRule="auto"/>
              <w:ind w:firstLine="0"/>
              <w:rPr>
                <w:b/>
              </w:rPr>
            </w:pPr>
            <w:r w:rsidRPr="00A877CD">
              <w:rPr>
                <w:b/>
              </w:rPr>
              <w:t>Instructional Design</w:t>
            </w:r>
          </w:p>
        </w:tc>
        <w:tc>
          <w:tcPr>
            <w:tcW w:w="1228" w:type="dxa"/>
          </w:tcPr>
          <w:p w:rsidR="00B8718F" w:rsidRDefault="00B8718F" w:rsidP="00D86925">
            <w:pPr>
              <w:ind w:firstLine="0"/>
            </w:pPr>
            <w:r>
              <w:t>Path type</w:t>
            </w:r>
          </w:p>
        </w:tc>
        <w:tc>
          <w:tcPr>
            <w:tcW w:w="5573" w:type="dxa"/>
          </w:tcPr>
          <w:p w:rsidR="00B8718F" w:rsidRDefault="00B8718F" w:rsidP="003532D4">
            <w:pPr>
              <w:spacing w:line="240" w:lineRule="auto"/>
              <w:ind w:firstLine="0"/>
            </w:pPr>
            <w:r>
              <w:t>Branching design, using a gradual disclosure approach</w:t>
            </w:r>
            <w:r w:rsidR="003532D4">
              <w:t xml:space="preserve">. </w:t>
            </w:r>
            <w:r w:rsidR="003532D4">
              <w:t>Students plan an approach to a focused history and examination, based on the complaint</w:t>
            </w:r>
          </w:p>
        </w:tc>
      </w:tr>
      <w:tr w:rsidR="00B8718F" w:rsidTr="00C43CBD">
        <w:tc>
          <w:tcPr>
            <w:tcW w:w="1417" w:type="dxa"/>
            <w:vMerge/>
          </w:tcPr>
          <w:p w:rsidR="00B8718F" w:rsidRDefault="00B8718F" w:rsidP="00A877CD">
            <w:pPr>
              <w:spacing w:line="240" w:lineRule="auto"/>
              <w:ind w:firstLine="0"/>
            </w:pPr>
          </w:p>
        </w:tc>
        <w:tc>
          <w:tcPr>
            <w:tcW w:w="1228" w:type="dxa"/>
          </w:tcPr>
          <w:p w:rsidR="00B8718F" w:rsidRDefault="00B8718F" w:rsidP="00D86925">
            <w:pPr>
              <w:ind w:firstLine="0"/>
            </w:pPr>
            <w:r>
              <w:t>User modality</w:t>
            </w:r>
          </w:p>
        </w:tc>
        <w:tc>
          <w:tcPr>
            <w:tcW w:w="5573" w:type="dxa"/>
          </w:tcPr>
          <w:p w:rsidR="00B8718F" w:rsidRDefault="00B8718F" w:rsidP="00A877CD">
            <w:pPr>
              <w:spacing w:line="240" w:lineRule="auto"/>
              <w:ind w:firstLine="0"/>
            </w:pPr>
            <w:r>
              <w:t>Students work in teams of 3-4. They discuss each clinical decision in the case.</w:t>
            </w:r>
            <w:r w:rsidR="005C1A04">
              <w:t xml:space="preserve"> </w:t>
            </w:r>
            <w:r w:rsidR="003532D4">
              <w:t>Alternatively, these VPS may be used for individual case practice.</w:t>
            </w:r>
          </w:p>
        </w:tc>
      </w:tr>
      <w:tr w:rsidR="00B8718F" w:rsidTr="00C43CBD">
        <w:tc>
          <w:tcPr>
            <w:tcW w:w="1417" w:type="dxa"/>
            <w:vMerge/>
          </w:tcPr>
          <w:p w:rsidR="00B8718F" w:rsidRDefault="00B8718F" w:rsidP="00A877CD">
            <w:pPr>
              <w:spacing w:line="240" w:lineRule="auto"/>
              <w:ind w:firstLine="0"/>
            </w:pPr>
          </w:p>
        </w:tc>
        <w:tc>
          <w:tcPr>
            <w:tcW w:w="1228" w:type="dxa"/>
          </w:tcPr>
          <w:p w:rsidR="00B8718F" w:rsidRDefault="00B8718F" w:rsidP="00A877CD">
            <w:pPr>
              <w:spacing w:line="240" w:lineRule="auto"/>
              <w:ind w:firstLine="0"/>
            </w:pPr>
            <w:r>
              <w:t>Media &amp; Resources</w:t>
            </w:r>
          </w:p>
        </w:tc>
        <w:tc>
          <w:tcPr>
            <w:tcW w:w="5573" w:type="dxa"/>
          </w:tcPr>
          <w:p w:rsidR="00B8718F" w:rsidRDefault="00B8718F" w:rsidP="00A877CD">
            <w:pPr>
              <w:spacing w:line="240" w:lineRule="auto"/>
              <w:ind w:firstLine="0"/>
            </w:pPr>
            <w:r>
              <w:t>Use of images, audio, video.</w:t>
            </w:r>
          </w:p>
        </w:tc>
      </w:tr>
      <w:tr w:rsidR="00B8718F" w:rsidTr="00C43CBD">
        <w:tc>
          <w:tcPr>
            <w:tcW w:w="1417" w:type="dxa"/>
            <w:vMerge/>
          </w:tcPr>
          <w:p w:rsidR="00B8718F" w:rsidRDefault="00B8718F" w:rsidP="00A877CD">
            <w:pPr>
              <w:spacing w:line="240" w:lineRule="auto"/>
              <w:ind w:firstLine="0"/>
            </w:pPr>
          </w:p>
        </w:tc>
        <w:tc>
          <w:tcPr>
            <w:tcW w:w="1228" w:type="dxa"/>
          </w:tcPr>
          <w:p w:rsidR="00B8718F" w:rsidRDefault="00B8718F" w:rsidP="00A877CD">
            <w:pPr>
              <w:spacing w:line="240" w:lineRule="auto"/>
              <w:ind w:firstLine="0"/>
            </w:pPr>
            <w:r>
              <w:t>Narrative Use and Patient Focus</w:t>
            </w:r>
          </w:p>
        </w:tc>
        <w:tc>
          <w:tcPr>
            <w:tcW w:w="5573" w:type="dxa"/>
          </w:tcPr>
          <w:p w:rsidR="00B8718F" w:rsidRDefault="00B8718F" w:rsidP="00C43CBD">
            <w:pPr>
              <w:spacing w:line="240" w:lineRule="auto"/>
              <w:ind w:firstLine="0"/>
            </w:pPr>
            <w:r>
              <w:t xml:space="preserve">These VPS are designed to provide a story line that </w:t>
            </w:r>
            <w:r w:rsidR="00C43CBD">
              <w:t>prompts</w:t>
            </w:r>
            <w:r>
              <w:t xml:space="preserve"> humanism and patient-centered </w:t>
            </w:r>
            <w:r w:rsidR="00C43CBD">
              <w:t>approaches</w:t>
            </w:r>
            <w:r>
              <w:t>. There is a balance between presenting the data, and engaging with the patient. These VPS also emphasize cultural competency, osteopathic treatment, and teamwork.</w:t>
            </w:r>
          </w:p>
        </w:tc>
      </w:tr>
      <w:tr w:rsidR="00B8718F" w:rsidTr="00C43CBD">
        <w:tc>
          <w:tcPr>
            <w:tcW w:w="1417" w:type="dxa"/>
            <w:vMerge/>
          </w:tcPr>
          <w:p w:rsidR="00B8718F" w:rsidRDefault="00B8718F" w:rsidP="00A877CD">
            <w:pPr>
              <w:spacing w:line="240" w:lineRule="auto"/>
              <w:ind w:firstLine="0"/>
            </w:pPr>
          </w:p>
        </w:tc>
        <w:tc>
          <w:tcPr>
            <w:tcW w:w="1228" w:type="dxa"/>
          </w:tcPr>
          <w:p w:rsidR="00B8718F" w:rsidRDefault="00B8718F" w:rsidP="00A877CD">
            <w:pPr>
              <w:spacing w:line="240" w:lineRule="auto"/>
              <w:ind w:firstLine="0"/>
            </w:pPr>
            <w:r>
              <w:t>Interactivity Use</w:t>
            </w:r>
          </w:p>
        </w:tc>
        <w:tc>
          <w:tcPr>
            <w:tcW w:w="5573" w:type="dxa"/>
          </w:tcPr>
          <w:p w:rsidR="00B8718F" w:rsidRDefault="00B8718F" w:rsidP="003532D4">
            <w:pPr>
              <w:spacing w:line="240" w:lineRule="auto"/>
              <w:ind w:firstLine="0"/>
            </w:pPr>
            <w:r>
              <w:t xml:space="preserve">During each episode, student teams make about 20 decisions, spanning all parts of the patient encounter. </w:t>
            </w:r>
          </w:p>
        </w:tc>
      </w:tr>
      <w:tr w:rsidR="00B8718F" w:rsidTr="00C43CBD">
        <w:trPr>
          <w:trHeight w:val="872"/>
        </w:trPr>
        <w:tc>
          <w:tcPr>
            <w:tcW w:w="1417" w:type="dxa"/>
            <w:vMerge/>
          </w:tcPr>
          <w:p w:rsidR="00B8718F" w:rsidRDefault="00B8718F" w:rsidP="00A877CD">
            <w:pPr>
              <w:spacing w:line="240" w:lineRule="auto"/>
              <w:ind w:firstLine="0"/>
            </w:pPr>
          </w:p>
        </w:tc>
        <w:tc>
          <w:tcPr>
            <w:tcW w:w="1228" w:type="dxa"/>
          </w:tcPr>
          <w:p w:rsidR="00B8718F" w:rsidRDefault="00B8718F" w:rsidP="00B8718F">
            <w:pPr>
              <w:spacing w:line="240" w:lineRule="auto"/>
              <w:ind w:firstLine="0"/>
            </w:pPr>
            <w:r>
              <w:t>Feedback</w:t>
            </w:r>
          </w:p>
          <w:p w:rsidR="00B8718F" w:rsidRDefault="00B8718F" w:rsidP="00B8718F">
            <w:pPr>
              <w:spacing w:line="240" w:lineRule="auto"/>
              <w:ind w:firstLine="0"/>
            </w:pPr>
            <w:r>
              <w:t>Use</w:t>
            </w:r>
          </w:p>
        </w:tc>
        <w:tc>
          <w:tcPr>
            <w:tcW w:w="5573" w:type="dxa"/>
          </w:tcPr>
          <w:p w:rsidR="00B8718F" w:rsidRDefault="00B8718F" w:rsidP="003532D4">
            <w:pPr>
              <w:spacing w:line="240" w:lineRule="auto"/>
              <w:ind w:firstLine="0"/>
            </w:pPr>
            <w:r>
              <w:t xml:space="preserve">Students receive </w:t>
            </w:r>
            <w:r w:rsidR="005450F2" w:rsidRPr="006C0812">
              <w:t xml:space="preserve">prefabricated, written, immediate feedback about </w:t>
            </w:r>
            <w:r w:rsidR="005450F2">
              <w:t>each</w:t>
            </w:r>
            <w:r w:rsidR="005450F2" w:rsidRPr="006C0812">
              <w:t xml:space="preserve"> decision</w:t>
            </w:r>
            <w:r w:rsidR="005450F2">
              <w:t xml:space="preserve"> throughout th</w:t>
            </w:r>
            <w:bookmarkStart w:id="0" w:name="_GoBack"/>
            <w:bookmarkEnd w:id="0"/>
            <w:r w:rsidR="005450F2">
              <w:t>e case.</w:t>
            </w:r>
            <w:r w:rsidR="003532D4">
              <w:t xml:space="preserve"> </w:t>
            </w:r>
          </w:p>
        </w:tc>
      </w:tr>
      <w:tr w:rsidR="00A877CD" w:rsidTr="00C43CBD">
        <w:tc>
          <w:tcPr>
            <w:tcW w:w="1417" w:type="dxa"/>
          </w:tcPr>
          <w:p w:rsidR="00A877CD" w:rsidRDefault="00B8718F" w:rsidP="00A877CD">
            <w:pPr>
              <w:spacing w:line="240" w:lineRule="auto"/>
              <w:ind w:firstLine="0"/>
            </w:pPr>
            <w:r>
              <w:t>Technical</w:t>
            </w:r>
          </w:p>
        </w:tc>
        <w:tc>
          <w:tcPr>
            <w:tcW w:w="1228" w:type="dxa"/>
          </w:tcPr>
          <w:p w:rsidR="00A877CD" w:rsidRDefault="00B8718F" w:rsidP="00B8718F">
            <w:pPr>
              <w:spacing w:line="240" w:lineRule="auto"/>
              <w:ind w:firstLine="0"/>
            </w:pPr>
            <w:r>
              <w:t>Originating system</w:t>
            </w:r>
          </w:p>
        </w:tc>
        <w:tc>
          <w:tcPr>
            <w:tcW w:w="5573" w:type="dxa"/>
          </w:tcPr>
          <w:p w:rsidR="00A877CD" w:rsidRDefault="00B8718F" w:rsidP="00A877CD">
            <w:pPr>
              <w:spacing w:line="240" w:lineRule="auto"/>
              <w:ind w:firstLine="0"/>
            </w:pPr>
            <w:r>
              <w:t>Decision Simulation</w:t>
            </w:r>
            <w:r w:rsidRPr="00B8718F">
              <w:rPr>
                <w:vertAlign w:val="superscript"/>
              </w:rPr>
              <w:t>TM</w:t>
            </w:r>
          </w:p>
        </w:tc>
      </w:tr>
      <w:tr w:rsidR="00B8718F" w:rsidTr="00C43CBD">
        <w:tc>
          <w:tcPr>
            <w:tcW w:w="1417" w:type="dxa"/>
          </w:tcPr>
          <w:p w:rsidR="00B8718F" w:rsidRDefault="00B8718F" w:rsidP="00A877CD">
            <w:pPr>
              <w:spacing w:line="240" w:lineRule="auto"/>
              <w:ind w:firstLine="0"/>
            </w:pPr>
            <w:r>
              <w:t>Format</w:t>
            </w:r>
          </w:p>
        </w:tc>
        <w:tc>
          <w:tcPr>
            <w:tcW w:w="1228" w:type="dxa"/>
          </w:tcPr>
          <w:p w:rsidR="00B8718F" w:rsidRDefault="00B8718F" w:rsidP="00B8718F">
            <w:pPr>
              <w:spacing w:line="240" w:lineRule="auto"/>
              <w:ind w:firstLine="0"/>
            </w:pPr>
            <w:r>
              <w:t>Format</w:t>
            </w:r>
          </w:p>
        </w:tc>
        <w:tc>
          <w:tcPr>
            <w:tcW w:w="5573" w:type="dxa"/>
          </w:tcPr>
          <w:p w:rsidR="00B8718F" w:rsidRDefault="00B8718F" w:rsidP="00A877CD">
            <w:pPr>
              <w:spacing w:line="240" w:lineRule="auto"/>
              <w:ind w:firstLine="0"/>
            </w:pPr>
            <w:r>
              <w:t>Text/HTML</w:t>
            </w:r>
          </w:p>
        </w:tc>
      </w:tr>
      <w:tr w:rsidR="00B8718F" w:rsidTr="00C43CBD">
        <w:tc>
          <w:tcPr>
            <w:tcW w:w="1417" w:type="dxa"/>
          </w:tcPr>
          <w:p w:rsidR="00B8718F" w:rsidRDefault="00B8718F" w:rsidP="00A877CD">
            <w:pPr>
              <w:spacing w:line="240" w:lineRule="auto"/>
              <w:ind w:firstLine="0"/>
            </w:pPr>
          </w:p>
        </w:tc>
        <w:tc>
          <w:tcPr>
            <w:tcW w:w="1228" w:type="dxa"/>
          </w:tcPr>
          <w:p w:rsidR="00B8718F" w:rsidRDefault="00B8718F" w:rsidP="00B8718F">
            <w:pPr>
              <w:spacing w:line="240" w:lineRule="auto"/>
              <w:ind w:firstLine="0"/>
            </w:pPr>
            <w:r>
              <w:t>Integration</w:t>
            </w:r>
          </w:p>
        </w:tc>
        <w:tc>
          <w:tcPr>
            <w:tcW w:w="5573" w:type="dxa"/>
          </w:tcPr>
          <w:p w:rsidR="00B8718F" w:rsidRDefault="00B8718F" w:rsidP="00B8718F">
            <w:pPr>
              <w:spacing w:line="240" w:lineRule="auto"/>
              <w:ind w:firstLine="0"/>
            </w:pPr>
            <w:r>
              <w:t xml:space="preserve">System independent. </w:t>
            </w:r>
          </w:p>
        </w:tc>
      </w:tr>
    </w:tbl>
    <w:p w:rsidR="00D86925" w:rsidRDefault="00D86925" w:rsidP="00D86925"/>
    <w:p w:rsidR="00A877CD" w:rsidRDefault="00B8718F" w:rsidP="00B8718F">
      <w:pPr>
        <w:ind w:firstLine="0"/>
      </w:pPr>
      <w:r w:rsidRPr="00BC260C">
        <w:rPr>
          <w:rFonts w:eastAsia="Times New Roman"/>
          <w:color w:val="222222"/>
          <w:sz w:val="19"/>
          <w:szCs w:val="19"/>
        </w:rPr>
        <w:t>Huwendiek et al. 2009, M</w:t>
      </w:r>
      <w:r>
        <w:rPr>
          <w:rFonts w:eastAsia="Times New Roman"/>
          <w:color w:val="222222"/>
          <w:sz w:val="19"/>
          <w:szCs w:val="19"/>
        </w:rPr>
        <w:t>ed Teach. 2009 Aug;31(8):743-8.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8856"/>
      </w:tblGrid>
      <w:tr w:rsidR="00A877CD" w:rsidRPr="006C0812" w:rsidTr="00C92953">
        <w:trPr>
          <w:trHeight w:val="5373"/>
        </w:trPr>
        <w:tc>
          <w:tcPr>
            <w:tcW w:w="8856" w:type="dxa"/>
          </w:tcPr>
          <w:p w:rsidR="00A877CD" w:rsidRPr="006C0812" w:rsidRDefault="00A877CD" w:rsidP="00C92953">
            <w:pPr>
              <w:pStyle w:val="NormalWeb"/>
              <w:widowControl w:val="0"/>
              <w:tabs>
                <w:tab w:val="left" w:pos="7200"/>
                <w:tab w:val="left" w:pos="9360"/>
              </w:tabs>
              <w:spacing w:line="240" w:lineRule="auto"/>
            </w:pPr>
            <w:r w:rsidRPr="006C0812">
              <w:rPr>
                <w:noProof/>
              </w:rPr>
              <w:lastRenderedPageBreak/>
              <w:drawing>
                <wp:inline distT="0" distB="0" distL="0" distR="0" wp14:anchorId="4CFBAEE9" wp14:editId="6E720F50">
                  <wp:extent cx="5326912" cy="3678865"/>
                  <wp:effectExtent l="19050" t="19050" r="26670" b="17145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94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6329" cy="3685369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</a:ln>
                          <a:effectLst/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877CD" w:rsidRPr="001B16B1" w:rsidTr="00C92953">
        <w:trPr>
          <w:trHeight w:val="1080"/>
        </w:trPr>
        <w:tc>
          <w:tcPr>
            <w:tcW w:w="8856" w:type="dxa"/>
          </w:tcPr>
          <w:p w:rsidR="00A877CD" w:rsidRPr="001B16B1" w:rsidRDefault="00A877CD" w:rsidP="00A877CD">
            <w:pPr>
              <w:pStyle w:val="NormalWeb"/>
              <w:widowControl w:val="0"/>
              <w:tabs>
                <w:tab w:val="left" w:pos="7200"/>
              </w:tabs>
              <w:spacing w:line="240" w:lineRule="auto"/>
              <w:ind w:right="-86"/>
            </w:pPr>
            <w:r w:rsidRPr="00CC167A">
              <w:t>VPS competency areas aligned to national standards</w:t>
            </w:r>
            <w:r>
              <w:t xml:space="preserve">. </w:t>
            </w:r>
            <w:r w:rsidRPr="00B93784">
              <w:t>Reprinted with permission</w:t>
            </w:r>
            <w:r>
              <w:t>.</w:t>
            </w:r>
          </w:p>
        </w:tc>
      </w:tr>
    </w:tbl>
    <w:p w:rsidR="00D86925" w:rsidRPr="006C0812" w:rsidRDefault="003532D4" w:rsidP="003532D4">
      <w:pPr>
        <w:pStyle w:val="Header"/>
        <w:widowControl w:val="0"/>
        <w:tabs>
          <w:tab w:val="clear" w:pos="4320"/>
          <w:tab w:val="clear" w:pos="8640"/>
        </w:tabs>
        <w:spacing w:before="0"/>
        <w:ind w:left="0" w:right="0" w:firstLine="720"/>
        <w:contextualSpacing/>
      </w:pPr>
      <w:bookmarkStart w:id="1" w:name="_Toc351213780"/>
      <w:bookmarkStart w:id="2" w:name="_Toc351213894"/>
      <w:r>
        <w:t xml:space="preserve"> </w:t>
      </w:r>
      <w:bookmarkEnd w:id="1"/>
      <w:bookmarkEnd w:id="2"/>
      <w:r>
        <w:t xml:space="preserve"> </w:t>
      </w:r>
    </w:p>
    <w:p w:rsidR="00985E88" w:rsidRDefault="00985E88"/>
    <w:sectPr w:rsidR="00985E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Franklin Gothic Medium Cond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925"/>
    <w:rsid w:val="003532D4"/>
    <w:rsid w:val="005450F2"/>
    <w:rsid w:val="005C1A04"/>
    <w:rsid w:val="00985E88"/>
    <w:rsid w:val="00A877CD"/>
    <w:rsid w:val="00B107A2"/>
    <w:rsid w:val="00B8718F"/>
    <w:rsid w:val="00C43CBD"/>
    <w:rsid w:val="00D8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C5BC3585-D5DD-4E41-A2DA-E453223C5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6925"/>
    <w:pPr>
      <w:keepNext/>
      <w:keepLines/>
      <w:spacing w:after="0" w:line="480" w:lineRule="auto"/>
      <w:ind w:firstLine="720"/>
      <w:outlineLvl w:val="2"/>
    </w:pPr>
    <w:rPr>
      <w:rFonts w:ascii="Arial" w:eastAsia="Calibri" w:hAnsi="Arial" w:cs="Arial"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link w:val="NormalWebChar"/>
    <w:uiPriority w:val="99"/>
    <w:unhideWhenUsed/>
    <w:rsid w:val="00D86925"/>
    <w:pPr>
      <w:spacing w:after="0" w:line="480" w:lineRule="auto"/>
    </w:pPr>
    <w:rPr>
      <w:rFonts w:ascii="Arial" w:eastAsia="Times New Roman" w:hAnsi="Arial" w:cs="Arial"/>
      <w:sz w:val="20"/>
      <w:szCs w:val="20"/>
    </w:rPr>
  </w:style>
  <w:style w:type="character" w:customStyle="1" w:styleId="NormalWebChar">
    <w:name w:val="Normal (Web) Char"/>
    <w:link w:val="NormalWeb"/>
    <w:uiPriority w:val="99"/>
    <w:rsid w:val="00D86925"/>
    <w:rPr>
      <w:rFonts w:ascii="Arial" w:eastAsia="Times New Roman" w:hAnsi="Arial" w:cs="Arial"/>
      <w:sz w:val="20"/>
      <w:szCs w:val="20"/>
    </w:rPr>
  </w:style>
  <w:style w:type="paragraph" w:styleId="Header">
    <w:name w:val="header"/>
    <w:link w:val="HeaderChar"/>
    <w:uiPriority w:val="99"/>
    <w:unhideWhenUsed/>
    <w:rsid w:val="00D86925"/>
    <w:pPr>
      <w:tabs>
        <w:tab w:val="center" w:pos="4320"/>
        <w:tab w:val="right" w:pos="8640"/>
      </w:tabs>
      <w:spacing w:before="720" w:after="0" w:line="480" w:lineRule="auto"/>
      <w:ind w:left="720" w:right="720"/>
    </w:pPr>
    <w:rPr>
      <w:rFonts w:ascii="Arial" w:eastAsia="Times New Roman" w:hAnsi="Arial" w:cs="Arial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D86925"/>
    <w:rPr>
      <w:rFonts w:ascii="Arial" w:eastAsia="Times New Roman" w:hAnsi="Arial" w:cs="Arial"/>
      <w:sz w:val="20"/>
      <w:szCs w:val="20"/>
    </w:rPr>
  </w:style>
  <w:style w:type="paragraph" w:styleId="BodyTextIndent">
    <w:name w:val="Body Text Indent"/>
    <w:link w:val="BodyTextIndentChar"/>
    <w:uiPriority w:val="99"/>
    <w:unhideWhenUsed/>
    <w:rsid w:val="00D86925"/>
    <w:pPr>
      <w:spacing w:after="0" w:line="480" w:lineRule="auto"/>
    </w:pPr>
    <w:rPr>
      <w:rFonts w:ascii="Arial" w:eastAsia="Times New Roman" w:hAnsi="Arial" w:cs="Arial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D86925"/>
    <w:rPr>
      <w:rFonts w:ascii="Arial" w:eastAsia="Times New Roman" w:hAnsi="Arial" w:cs="Arial"/>
      <w:sz w:val="20"/>
      <w:szCs w:val="20"/>
    </w:rPr>
  </w:style>
  <w:style w:type="paragraph" w:styleId="CommentText">
    <w:name w:val="annotation text"/>
    <w:basedOn w:val="Normal"/>
    <w:link w:val="CommentTextChar"/>
    <w:uiPriority w:val="99"/>
    <w:unhideWhenUsed/>
    <w:rsid w:val="00D86925"/>
    <w:rPr>
      <w:rFonts w:cs="Times New Roman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6925"/>
    <w:rPr>
      <w:rFonts w:ascii="Arial" w:eastAsia="Calibri" w:hAnsi="Arial" w:cs="Times New Roman"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D86925"/>
    <w:pPr>
      <w:spacing w:after="200"/>
    </w:pPr>
    <w:rPr>
      <w:rFonts w:cs="Times New Roman"/>
      <w:b/>
      <w:bCs w:val="0"/>
      <w:color w:val="4F81BD"/>
      <w:sz w:val="18"/>
      <w:szCs w:val="18"/>
    </w:rPr>
  </w:style>
  <w:style w:type="paragraph" w:customStyle="1" w:styleId="APALevel2">
    <w:name w:val="APA Level 2"/>
    <w:basedOn w:val="Normal"/>
    <w:next w:val="Normal"/>
    <w:link w:val="APALevel2Char"/>
    <w:qFormat/>
    <w:rsid w:val="00D86925"/>
    <w:pPr>
      <w:keepNext w:val="0"/>
      <w:keepLines w:val="0"/>
      <w:widowControl w:val="0"/>
      <w:ind w:firstLine="0"/>
      <w:contextualSpacing/>
      <w:outlineLvl w:val="9"/>
    </w:pPr>
    <w:rPr>
      <w:b/>
    </w:rPr>
  </w:style>
  <w:style w:type="character" w:customStyle="1" w:styleId="APALevel2Char">
    <w:name w:val="APA Level 2 Char"/>
    <w:basedOn w:val="DefaultParagraphFont"/>
    <w:link w:val="APALevel2"/>
    <w:rsid w:val="00D86925"/>
    <w:rPr>
      <w:rFonts w:ascii="Arial" w:eastAsia="Calibri" w:hAnsi="Arial" w:cs="Arial"/>
      <w:b/>
      <w:bCs/>
      <w:sz w:val="20"/>
      <w:szCs w:val="20"/>
    </w:rPr>
  </w:style>
  <w:style w:type="paragraph" w:customStyle="1" w:styleId="APALevel3">
    <w:name w:val="APA Level 3"/>
    <w:basedOn w:val="Normal"/>
    <w:next w:val="Normal"/>
    <w:link w:val="APALevel3Char"/>
    <w:autoRedefine/>
    <w:qFormat/>
    <w:rsid w:val="00D86925"/>
    <w:pPr>
      <w:keepNext w:val="0"/>
      <w:keepLines w:val="0"/>
      <w:widowControl w:val="0"/>
      <w:contextualSpacing/>
    </w:pPr>
    <w:rPr>
      <w:b/>
    </w:rPr>
  </w:style>
  <w:style w:type="character" w:customStyle="1" w:styleId="APALevel3Char">
    <w:name w:val="APA Level 3 Char"/>
    <w:basedOn w:val="DefaultParagraphFont"/>
    <w:link w:val="APALevel3"/>
    <w:rsid w:val="00D86925"/>
    <w:rPr>
      <w:rFonts w:ascii="Arial" w:eastAsia="Calibri" w:hAnsi="Arial" w:cs="Arial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D869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C1A04"/>
    <w:pPr>
      <w:spacing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1A04"/>
    <w:rPr>
      <w:rFonts w:ascii="Lucida Grande" w:eastAsia="Calibri" w:hAnsi="Lucida Grande" w:cs="Arial"/>
      <w:bCs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C1A04"/>
    <w:rPr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1A04"/>
    <w:pPr>
      <w:spacing w:line="240" w:lineRule="auto"/>
    </w:pPr>
    <w:rPr>
      <w:rFonts w:cs="Arial"/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1A04"/>
    <w:rPr>
      <w:rFonts w:ascii="Arial" w:eastAsia="Calibri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246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ATSU</Company>
  <LinksUpToDate>false</LinksUpToDate>
  <CharactersWithSpaces>1647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McCoy</dc:creator>
  <cp:keywords/>
  <dc:description/>
  <cp:lastModifiedBy>Lise McCoy</cp:lastModifiedBy>
  <cp:revision>4</cp:revision>
  <dcterms:created xsi:type="dcterms:W3CDTF">2015-08-17T13:54:00Z</dcterms:created>
  <dcterms:modified xsi:type="dcterms:W3CDTF">2015-08-18T16:41:00Z</dcterms:modified>
</cp:coreProperties>
</file>