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567"/>
        <w:gridCol w:w="567"/>
        <w:gridCol w:w="567"/>
        <w:gridCol w:w="992"/>
      </w:tblGrid>
      <w:tr w:rsidR="008F0BFC" w:rsidRPr="00DA5E33" w:rsidTr="005A2024">
        <w:trPr>
          <w:trHeight w:val="1350"/>
        </w:trPr>
        <w:tc>
          <w:tcPr>
            <w:tcW w:w="7513" w:type="dxa"/>
            <w:shd w:val="clear" w:color="auto" w:fill="DDD9C3"/>
            <w:hideMark/>
          </w:tcPr>
          <w:p w:rsidR="008F0BFC" w:rsidRPr="00DA5E33" w:rsidRDefault="008F0BFC" w:rsidP="00A25F72">
            <w:pPr>
              <w:spacing w:before="100" w:beforeAutospacing="1" w:after="100" w:afterAutospacing="1"/>
              <w:outlineLvl w:val="0"/>
              <w:rPr>
                <w:rFonts w:ascii="Arial Narrow" w:hAnsi="Arial Narrow" w:cs="Calibri"/>
              </w:rPr>
            </w:pPr>
            <w:r w:rsidRPr="00DA5E33">
              <w:rPr>
                <w:rFonts w:ascii="Arial Narrow" w:hAnsi="Arial Narrow" w:cs="Calibri"/>
                <w:b/>
                <w:bCs/>
              </w:rPr>
              <w:t>A) COMUNICACION CON EL PACIENTE (DIADA)</w:t>
            </w:r>
            <w:r w:rsidRPr="00DA5E33">
              <w:rPr>
                <w:rFonts w:ascii="Arial Narrow" w:hAnsi="Arial Narrow" w:cs="Calibri"/>
              </w:rPr>
              <w:br/>
            </w:r>
            <w:r w:rsidRPr="00DA5E33">
              <w:rPr>
                <w:rFonts w:ascii="Arial Narrow" w:hAnsi="Arial Narrow" w:cs="Calibri"/>
                <w:b/>
                <w:bCs/>
              </w:rPr>
              <w:t xml:space="preserve">A.1. Aspectos generales de la Entrevista Clínica con pacientes </w:t>
            </w:r>
            <w:r w:rsidRPr="00DA5E33">
              <w:rPr>
                <w:rFonts w:ascii="Arial Narrow" w:hAnsi="Arial Narrow" w:cs="Calibri"/>
              </w:rPr>
              <w:t xml:space="preserve"> (El estudiante reconoce el valor de la entrevista médica para la finalidad del acto clínico conociendo, integrando y estructurando sus diferentes componentes) </w:t>
            </w:r>
            <w:r w:rsidRPr="00DA5E33">
              <w:rPr>
                <w:rFonts w:ascii="Arial Narrow" w:hAnsi="Arial Narrow" w:cs="Calibri"/>
              </w:rPr>
              <w:br/>
            </w:r>
            <w:r w:rsidRPr="00DA5E33">
              <w:rPr>
                <w:rFonts w:ascii="Arial Narrow" w:hAnsi="Arial Narrow" w:cs="Calibri"/>
                <w:b/>
                <w:bCs/>
              </w:rPr>
              <w:t>El estudiante será capaz de…</w:t>
            </w:r>
          </w:p>
        </w:tc>
        <w:tc>
          <w:tcPr>
            <w:tcW w:w="567" w:type="dxa"/>
            <w:shd w:val="clear" w:color="auto" w:fill="DDD9C3"/>
            <w:hideMark/>
          </w:tcPr>
          <w:p w:rsidR="008F0BFC" w:rsidRPr="00DA5E33" w:rsidRDefault="008F0BFC" w:rsidP="005A2024">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X*</w:t>
            </w:r>
          </w:p>
        </w:tc>
        <w:tc>
          <w:tcPr>
            <w:tcW w:w="567" w:type="dxa"/>
            <w:shd w:val="clear" w:color="auto" w:fill="DDD9C3"/>
            <w:noWrap/>
            <w:hideMark/>
          </w:tcPr>
          <w:p w:rsidR="008F0BFC" w:rsidRPr="00DA5E33" w:rsidRDefault="008F0BFC" w:rsidP="005A2024">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Me*</w:t>
            </w:r>
          </w:p>
        </w:tc>
        <w:tc>
          <w:tcPr>
            <w:tcW w:w="567" w:type="dxa"/>
            <w:shd w:val="clear" w:color="auto" w:fill="DDD9C3"/>
            <w:hideMark/>
          </w:tcPr>
          <w:p w:rsidR="008F0BFC" w:rsidRPr="00DA5E33" w:rsidRDefault="008F0BFC" w:rsidP="005A2024">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RI*</w:t>
            </w:r>
          </w:p>
        </w:tc>
        <w:tc>
          <w:tcPr>
            <w:tcW w:w="992" w:type="dxa"/>
            <w:shd w:val="clear" w:color="auto" w:fill="DDD9C3"/>
            <w:hideMark/>
          </w:tcPr>
          <w:p w:rsidR="008F0BFC" w:rsidRPr="00DA5E33" w:rsidRDefault="008F0BFC" w:rsidP="005A2024">
            <w:pPr>
              <w:spacing w:before="100" w:beforeAutospacing="1" w:after="100" w:afterAutospacing="1"/>
              <w:jc w:val="center"/>
              <w:outlineLvl w:val="0"/>
              <w:rPr>
                <w:rFonts w:ascii="Arial Narrow" w:eastAsia="Calibri" w:hAnsi="Arial Narrow" w:cs="Calibri"/>
                <w:b/>
                <w:bCs/>
                <w:lang w:eastAsia="en-US"/>
              </w:rPr>
            </w:pPr>
            <w:r>
              <w:rPr>
                <w:rFonts w:ascii="Arial Narrow" w:eastAsia="Calibri" w:hAnsi="Arial Narrow" w:cs="Calibri"/>
                <w:b/>
                <w:bCs/>
                <w:lang w:eastAsia="en-US"/>
              </w:rPr>
              <w:t xml:space="preserve">% fuera </w:t>
            </w:r>
            <w:r w:rsidRPr="00DA5E33">
              <w:rPr>
                <w:rFonts w:ascii="Arial Narrow" w:eastAsia="Calibri" w:hAnsi="Arial Narrow" w:cs="Calibri"/>
                <w:b/>
                <w:bCs/>
                <w:lang w:eastAsia="en-US"/>
              </w:rPr>
              <w:t>Me*</w:t>
            </w:r>
          </w:p>
        </w:tc>
      </w:tr>
      <w:tr w:rsidR="008F0BFC" w:rsidRPr="00DA5E33" w:rsidTr="005A2024">
        <w:trPr>
          <w:trHeight w:val="315"/>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1. Explicar los principios y características de la comunicación humana. </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7,4</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7,5</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13,6</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2. Explicar los modelos de relación entre profesional y paciente (centrados en el profesional, en el paciente, en tareas, en el proceso, mixtos…).</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2,3</w:t>
            </w:r>
          </w:p>
        </w:tc>
      </w:tr>
      <w:tr w:rsidR="008F0BFC" w:rsidRPr="00DA5E33" w:rsidTr="005A2024">
        <w:trPr>
          <w:trHeight w:val="945"/>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3. Describir los diferentes elementos de contenido de una </w:t>
            </w:r>
            <w:r w:rsidRPr="00DA5E33">
              <w:rPr>
                <w:rFonts w:ascii="Arial Narrow" w:hAnsi="Arial Narrow" w:cs="Calibri"/>
                <w:u w:val="single"/>
              </w:rPr>
              <w:t>historia clínica</w:t>
            </w:r>
            <w:r w:rsidRPr="00DA5E33">
              <w:rPr>
                <w:rFonts w:ascii="Arial Narrow" w:hAnsi="Arial Narrow" w:cs="Calibri"/>
              </w:rPr>
              <w:t xml:space="preserve"> (anamnesis: dolencia (</w:t>
            </w:r>
            <w:proofErr w:type="spellStart"/>
            <w:r w:rsidRPr="00DA5E33">
              <w:rPr>
                <w:rFonts w:ascii="Arial Narrow" w:hAnsi="Arial Narrow" w:cs="Calibri"/>
                <w:i/>
                <w:iCs/>
              </w:rPr>
              <w:t>illness</w:t>
            </w:r>
            <w:proofErr w:type="spellEnd"/>
            <w:r w:rsidRPr="00DA5E33">
              <w:rPr>
                <w:rFonts w:ascii="Arial Narrow" w:hAnsi="Arial Narrow" w:cs="Calibri"/>
              </w:rPr>
              <w:t>) y enfermedad (</w:t>
            </w:r>
            <w:proofErr w:type="spellStart"/>
            <w:r w:rsidRPr="00DA5E33">
              <w:rPr>
                <w:rFonts w:ascii="Arial Narrow" w:hAnsi="Arial Narrow" w:cs="Calibri"/>
                <w:i/>
                <w:iCs/>
              </w:rPr>
              <w:t>disease</w:t>
            </w:r>
            <w:proofErr w:type="spellEnd"/>
            <w:r w:rsidRPr="00DA5E33">
              <w:rPr>
                <w:rFonts w:ascii="Arial Narrow" w:hAnsi="Arial Narrow" w:cs="Calibri"/>
              </w:rPr>
              <w:t xml:space="preserve">), exploración física y complementaria, aproximación diagnóstica, plan terapéutico, evolución). </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8,1</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6,8</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4. Describir los diferentes elementos de proceso útiles para la elaboración de una </w:t>
            </w:r>
            <w:r w:rsidRPr="00DA5E33">
              <w:rPr>
                <w:rFonts w:ascii="Arial Narrow" w:hAnsi="Arial Narrow" w:cs="Calibri"/>
                <w:u w:val="single"/>
              </w:rPr>
              <w:t xml:space="preserve">historia clínica </w:t>
            </w:r>
            <w:r w:rsidRPr="00DA5E33">
              <w:rPr>
                <w:rFonts w:ascii="Arial Narrow" w:hAnsi="Arial Narrow" w:cs="Calibri"/>
              </w:rPr>
              <w:t>(habilidades comunicacionales o de relación).</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7,7</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13,6</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5. Delimitar la estructura de una </w:t>
            </w:r>
            <w:r w:rsidRPr="00DA5E33">
              <w:rPr>
                <w:rFonts w:ascii="Arial Narrow" w:hAnsi="Arial Narrow" w:cs="Calibri"/>
                <w:u w:val="single"/>
              </w:rPr>
              <w:t>entrevista clínica</w:t>
            </w:r>
            <w:r w:rsidRPr="00DA5E33">
              <w:rPr>
                <w:rFonts w:ascii="Arial Narrow" w:hAnsi="Arial Narrow" w:cs="Calibri"/>
              </w:rPr>
              <w:t xml:space="preserve"> desde su inicio hasta su final (introducción, iniciar la entrevista, compartir información: obtenerla y ofrecerla, planificar, fijar seguimiento, cerrar la entrevista).</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8,1</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9,1</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6. Identificar los aspectos de la comunicación médico-paciente que en estudios científicos se han mostrado eficientes (por relacionarse positivamente con resultados de la asistencia). </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9,1</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7. Reconocer los mecanismos a través de los cuales la comunicación clínica conlleva una mejora de resultados de la asistencia generalmente a través de resultados intermedios. </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7,5</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13,6</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8. Realizar una entrevista médica integrando sus contenidos (anamnesis, exploración, diagnóstico, plan terapéutico y evolución) con el proceso (habilidades comunicacionales o de relación). </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8,7</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0,0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2,3</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9. Mostrar que acepta la importancia del contexto relacional en el que se desarrolla la entrevista clínica empleando conductas adecuadas para su consideración.</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8,1</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1,5</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9,1</w:t>
            </w:r>
          </w:p>
        </w:tc>
      </w:tr>
      <w:tr w:rsidR="008F0BFC" w:rsidRPr="00DA5E33" w:rsidTr="005A2024">
        <w:trPr>
          <w:trHeight w:val="630"/>
        </w:trPr>
        <w:tc>
          <w:tcPr>
            <w:tcW w:w="7513" w:type="dxa"/>
            <w:tcBorders>
              <w:bottom w:val="single" w:sz="4" w:space="0" w:color="000000"/>
            </w:tcBorders>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10. Mostrar disposición para involucrar al paciente en la interacción, estableciendo una relación terapéutica usando una aproximación centrada en el paciente.</w:t>
            </w:r>
          </w:p>
        </w:tc>
        <w:tc>
          <w:tcPr>
            <w:tcW w:w="567" w:type="dxa"/>
            <w:tcBorders>
              <w:bottom w:val="single" w:sz="4" w:space="0" w:color="000000"/>
            </w:tcBorders>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8,6</w:t>
            </w:r>
          </w:p>
        </w:tc>
        <w:tc>
          <w:tcPr>
            <w:tcW w:w="567" w:type="dxa"/>
            <w:tcBorders>
              <w:bottom w:val="single" w:sz="4" w:space="0" w:color="000000"/>
            </w:tcBorders>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tcBorders>
              <w:bottom w:val="single" w:sz="4" w:space="0" w:color="000000"/>
            </w:tcBorders>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tcBorders>
              <w:bottom w:val="single" w:sz="4" w:space="0" w:color="000000"/>
            </w:tcBorders>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2,3</w:t>
            </w:r>
          </w:p>
        </w:tc>
      </w:tr>
    </w:tbl>
    <w:p w:rsidR="008F0BFC" w:rsidRPr="00A00BA4" w:rsidRDefault="008F0BFC" w:rsidP="008F0BFC">
      <w:pPr>
        <w:rPr>
          <w:sz w:val="32"/>
          <w:szCs w:val="32"/>
        </w:rPr>
      </w:pPr>
      <w:r>
        <w:br w:type="page"/>
      </w: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567"/>
        <w:gridCol w:w="567"/>
        <w:gridCol w:w="567"/>
        <w:gridCol w:w="992"/>
      </w:tblGrid>
      <w:tr w:rsidR="008F0BFC" w:rsidRPr="00DA5E33" w:rsidTr="005A2024">
        <w:trPr>
          <w:trHeight w:val="414"/>
        </w:trPr>
        <w:tc>
          <w:tcPr>
            <w:tcW w:w="10206" w:type="dxa"/>
            <w:gridSpan w:val="5"/>
            <w:shd w:val="clear" w:color="auto" w:fill="DDD9C3"/>
            <w:hideMark/>
          </w:tcPr>
          <w:p w:rsidR="008F0BFC" w:rsidRPr="00DA5E33" w:rsidRDefault="008F0BFC" w:rsidP="00A25F72">
            <w:pPr>
              <w:spacing w:before="100" w:beforeAutospacing="1" w:after="100" w:afterAutospacing="1"/>
              <w:outlineLvl w:val="0"/>
              <w:rPr>
                <w:rFonts w:ascii="Arial Narrow" w:eastAsia="Calibri" w:hAnsi="Arial Narrow" w:cs="Calibri"/>
                <w:b/>
                <w:bCs/>
                <w:lang w:eastAsia="en-US"/>
              </w:rPr>
            </w:pPr>
            <w:r w:rsidRPr="00DA5E33">
              <w:rPr>
                <w:rFonts w:ascii="Calibri" w:eastAsia="Calibri" w:hAnsi="Calibri"/>
                <w:sz w:val="22"/>
                <w:szCs w:val="22"/>
                <w:lang w:eastAsia="en-US"/>
              </w:rPr>
              <w:br w:type="page"/>
            </w:r>
            <w:r w:rsidRPr="00DA5E33">
              <w:rPr>
                <w:rFonts w:ascii="Arial Narrow" w:hAnsi="Arial Narrow" w:cs="Calibri"/>
                <w:b/>
                <w:bCs/>
              </w:rPr>
              <w:t>A.2. Tareas y Habilidades para comunicar con los pacientes</w:t>
            </w:r>
          </w:p>
        </w:tc>
      </w:tr>
      <w:tr w:rsidR="008F0BFC" w:rsidRPr="00DA5E33" w:rsidTr="005A2024">
        <w:trPr>
          <w:trHeight w:val="1088"/>
        </w:trPr>
        <w:tc>
          <w:tcPr>
            <w:tcW w:w="7513" w:type="dxa"/>
            <w:shd w:val="clear" w:color="auto" w:fill="DDD9C3"/>
            <w:hideMark/>
          </w:tcPr>
          <w:p w:rsidR="008F0BFC" w:rsidRPr="00DA5E33" w:rsidRDefault="008F0BFC" w:rsidP="00A25F72">
            <w:pPr>
              <w:spacing w:before="100" w:beforeAutospacing="1" w:after="100" w:afterAutospacing="1"/>
              <w:outlineLvl w:val="0"/>
              <w:rPr>
                <w:rFonts w:ascii="Arial Narrow" w:hAnsi="Arial Narrow" w:cs="Calibri"/>
                <w:b/>
                <w:bCs/>
              </w:rPr>
            </w:pPr>
            <w:r w:rsidRPr="00DA5E33">
              <w:rPr>
                <w:rFonts w:ascii="Arial Narrow" w:hAnsi="Arial Narrow" w:cs="Calibri"/>
                <w:b/>
                <w:bCs/>
              </w:rPr>
              <w:t>A.2.1. Establecer y mantener una relación terapéutica (Conectar)</w:t>
            </w:r>
            <w:r w:rsidRPr="00DA5E33">
              <w:rPr>
                <w:rFonts w:ascii="Arial Narrow" w:hAnsi="Arial Narrow" w:cs="Calibri"/>
              </w:rPr>
              <w:t xml:space="preserve"> (El estudiante establece y mantiene una relación terapéutica mediante una aproximación centrada en el paciente)</w:t>
            </w:r>
            <w:r w:rsidRPr="00DA5E33">
              <w:rPr>
                <w:rFonts w:ascii="Arial Narrow" w:hAnsi="Arial Narrow" w:cs="Calibri"/>
                <w:b/>
                <w:bCs/>
              </w:rPr>
              <w:br/>
              <w:t>El estudiante será capaz de…</w:t>
            </w:r>
          </w:p>
        </w:tc>
        <w:tc>
          <w:tcPr>
            <w:tcW w:w="567" w:type="dxa"/>
            <w:shd w:val="clear" w:color="auto" w:fill="DDD9C3"/>
          </w:tcPr>
          <w:p w:rsidR="008F0BFC" w:rsidRPr="00DA5E33" w:rsidRDefault="008F0BFC" w:rsidP="005A2024">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X*</w:t>
            </w:r>
          </w:p>
        </w:tc>
        <w:tc>
          <w:tcPr>
            <w:tcW w:w="567" w:type="dxa"/>
            <w:shd w:val="clear" w:color="auto" w:fill="DDD9C3"/>
          </w:tcPr>
          <w:p w:rsidR="008F0BFC" w:rsidRPr="00DA5E33" w:rsidRDefault="008F0BFC" w:rsidP="005A2024">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Me*</w:t>
            </w:r>
          </w:p>
        </w:tc>
        <w:tc>
          <w:tcPr>
            <w:tcW w:w="567" w:type="dxa"/>
            <w:shd w:val="clear" w:color="auto" w:fill="DDD9C3"/>
          </w:tcPr>
          <w:p w:rsidR="008F0BFC" w:rsidRPr="00DA5E33" w:rsidRDefault="008F0BFC" w:rsidP="005A2024">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RI*</w:t>
            </w:r>
          </w:p>
        </w:tc>
        <w:tc>
          <w:tcPr>
            <w:tcW w:w="992" w:type="dxa"/>
            <w:shd w:val="clear" w:color="auto" w:fill="DDD9C3"/>
          </w:tcPr>
          <w:p w:rsidR="008F0BFC" w:rsidRPr="00DA5E33" w:rsidRDefault="008F0BFC" w:rsidP="005A2024">
            <w:pPr>
              <w:spacing w:before="100" w:beforeAutospacing="1" w:after="100" w:afterAutospacing="1"/>
              <w:jc w:val="center"/>
              <w:outlineLvl w:val="0"/>
              <w:rPr>
                <w:rFonts w:ascii="Arial Narrow" w:eastAsia="Calibri" w:hAnsi="Arial Narrow" w:cs="Calibri"/>
                <w:b/>
                <w:bCs/>
                <w:lang w:eastAsia="en-US"/>
              </w:rPr>
            </w:pPr>
            <w:r>
              <w:rPr>
                <w:rFonts w:ascii="Arial Narrow" w:eastAsia="Calibri" w:hAnsi="Arial Narrow" w:cs="Calibri"/>
                <w:b/>
                <w:bCs/>
                <w:lang w:eastAsia="en-US"/>
              </w:rPr>
              <w:t xml:space="preserve">% fuera </w:t>
            </w:r>
            <w:r w:rsidRPr="00DA5E33">
              <w:rPr>
                <w:rFonts w:ascii="Arial Narrow" w:eastAsia="Calibri" w:hAnsi="Arial Narrow" w:cs="Calibri"/>
                <w:b/>
                <w:bCs/>
                <w:lang w:eastAsia="en-US"/>
              </w:rPr>
              <w:t>Me*</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11. Conocer los aspectos más relevantes de la comunicación no verbal (contacto visual-facial, gestos, expresiones faciales, </w:t>
            </w:r>
            <w:proofErr w:type="spellStart"/>
            <w:r w:rsidRPr="00DA5E33">
              <w:rPr>
                <w:rFonts w:ascii="Arial Narrow" w:hAnsi="Arial Narrow" w:cs="Calibri"/>
              </w:rPr>
              <w:t>proxémica</w:t>
            </w:r>
            <w:proofErr w:type="spellEnd"/>
            <w:r w:rsidRPr="00DA5E33">
              <w:rPr>
                <w:rFonts w:ascii="Arial Narrow" w:hAnsi="Arial Narrow" w:cs="Calibri"/>
              </w:rPr>
              <w:t xml:space="preserve">, </w:t>
            </w:r>
            <w:proofErr w:type="spellStart"/>
            <w:r w:rsidRPr="00DA5E33">
              <w:rPr>
                <w:rFonts w:ascii="Arial Narrow" w:hAnsi="Arial Narrow" w:cs="Calibri"/>
              </w:rPr>
              <w:t>paralenguaje</w:t>
            </w:r>
            <w:proofErr w:type="spellEnd"/>
            <w:r w:rsidRPr="00DA5E33">
              <w:rPr>
                <w:rFonts w:ascii="Arial Narrow" w:hAnsi="Arial Narrow" w:cs="Calibri"/>
              </w:rPr>
              <w:t xml:space="preserve">…) y su influencia en el establecimiento de una relación efectiva. </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8,4</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6,8</w:t>
            </w:r>
          </w:p>
        </w:tc>
      </w:tr>
      <w:tr w:rsidR="008F0BFC" w:rsidRPr="00DA5E33" w:rsidTr="005A2024">
        <w:trPr>
          <w:trHeight w:val="28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12. Comprobar que el paciente se siente atendido y escuchado, mediante técnicas tales como  escucha activa, preguntas, comprobaciones, etc.</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8,8</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0,0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0,0</w:t>
            </w:r>
          </w:p>
        </w:tc>
      </w:tr>
      <w:tr w:rsidR="008F0BFC" w:rsidRPr="00DA5E33" w:rsidTr="005A2024">
        <w:trPr>
          <w:trHeight w:val="315"/>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13. Percibir el lenguaje no verbal del paciente  y responder de forma adecuada al contexto.</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8,6</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2,3</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14. Utilizar los registros de historia clínica (manual/informatizados) en la comunicación con el paciente de forma que no la interfieran. </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8,1</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6,8</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15. Aplicar habilidades sociales comunicacionales para rec</w:t>
            </w:r>
            <w:r>
              <w:rPr>
                <w:rFonts w:ascii="Arial Narrow" w:hAnsi="Arial Narrow" w:cs="Calibri"/>
              </w:rPr>
              <w:t>ibir a los pacientes que fomente</w:t>
            </w:r>
            <w:r w:rsidRPr="00DA5E33">
              <w:rPr>
                <w:rFonts w:ascii="Arial Narrow" w:hAnsi="Arial Narrow" w:cs="Calibri"/>
              </w:rPr>
              <w:t>n el mantenimiento de una relación efectiva (saludar, llamar por su nombre al paciente, acomodarlo…).</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8,7</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0,0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2,3</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16. Aplicar habilidades sociales comunicacionales para despedir a lo</w:t>
            </w:r>
            <w:r>
              <w:rPr>
                <w:rFonts w:ascii="Arial Narrow" w:hAnsi="Arial Narrow" w:cs="Calibri"/>
              </w:rPr>
              <w:t>s pacientes que fomente</w:t>
            </w:r>
            <w:r w:rsidRPr="00DA5E33">
              <w:rPr>
                <w:rFonts w:ascii="Arial Narrow" w:hAnsi="Arial Narrow" w:cs="Calibri"/>
              </w:rPr>
              <w:t>n el mantenimiento de una relación efectiva (despedir, acompañar…).</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8,7</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0,0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2,3</w:t>
            </w:r>
          </w:p>
        </w:tc>
      </w:tr>
      <w:tr w:rsidR="008F0BFC" w:rsidRPr="00DA5E33" w:rsidTr="005A2024">
        <w:trPr>
          <w:trHeight w:val="315"/>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17. Mostrar empatía en los momentos oportunos (aparición de emociones, situaciones difíciles…).</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8,6</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0,5</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2,3</w:t>
            </w:r>
          </w:p>
        </w:tc>
      </w:tr>
      <w:tr w:rsidR="008F0BFC" w:rsidRPr="00DA5E33" w:rsidTr="005A2024">
        <w:trPr>
          <w:trHeight w:val="945"/>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18. Reconocer situaciones difíciles y desafíos comunicacionales (llanto, emociones fuertes, interrupciones, agresiones, enfado, ansiedad, temas sensibles o embarazosos, dificultades cognitivas, malas noticias, primer encuentro…). </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8,6</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4,6</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19. Usar técnicas para afrontar con sensibilidad y de forma constructiva situaciones difíciles y desafíos comunicacionales.</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8,4</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4,6</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20. Relacionarse con el paciente de manera respetuosa teniendo en cuenta sus derechos (confidencialidad, privacidad, autonomía, respeto a valores y creencias). </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8,8</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0,0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2,3</w:t>
            </w:r>
          </w:p>
        </w:tc>
      </w:tr>
      <w:tr w:rsidR="008F0BFC" w:rsidRPr="00DA5E33" w:rsidTr="005A2024">
        <w:trPr>
          <w:trHeight w:val="315"/>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21. Considerar al paciente como un colaborador para construir la relación y tratarlo como tal.</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7,8</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1,5</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13,6</w:t>
            </w:r>
          </w:p>
        </w:tc>
      </w:tr>
      <w:tr w:rsidR="008F0BFC" w:rsidRPr="00DA5E33" w:rsidTr="005A2024">
        <w:trPr>
          <w:trHeight w:val="315"/>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22. Mostrar interés genuino en la relación con el paciente y su situación.   </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8,1</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1,5</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9,1</w:t>
            </w:r>
          </w:p>
        </w:tc>
      </w:tr>
      <w:tr w:rsidR="008F0BFC" w:rsidRPr="00DA5E33" w:rsidTr="005A2024">
        <w:trPr>
          <w:trHeight w:val="630"/>
        </w:trPr>
        <w:tc>
          <w:tcPr>
            <w:tcW w:w="7513" w:type="dxa"/>
            <w:tcBorders>
              <w:bottom w:val="single" w:sz="4" w:space="0" w:color="000000"/>
            </w:tcBorders>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23. Utilizar de manera adecuada el sentido del humor en la relación con el paciente (en situaciones que requieran distensión del ambiente, para el acercamiento…).</w:t>
            </w:r>
          </w:p>
        </w:tc>
        <w:tc>
          <w:tcPr>
            <w:tcW w:w="567" w:type="dxa"/>
            <w:tcBorders>
              <w:bottom w:val="single" w:sz="4" w:space="0" w:color="000000"/>
            </w:tcBorders>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7,2</w:t>
            </w:r>
          </w:p>
        </w:tc>
        <w:tc>
          <w:tcPr>
            <w:tcW w:w="567" w:type="dxa"/>
            <w:tcBorders>
              <w:bottom w:val="single" w:sz="4" w:space="0" w:color="000000"/>
            </w:tcBorders>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8,0</w:t>
            </w:r>
          </w:p>
        </w:tc>
        <w:tc>
          <w:tcPr>
            <w:tcW w:w="567" w:type="dxa"/>
            <w:tcBorders>
              <w:bottom w:val="single" w:sz="4" w:space="0" w:color="000000"/>
            </w:tcBorders>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3,0</w:t>
            </w:r>
          </w:p>
        </w:tc>
        <w:tc>
          <w:tcPr>
            <w:tcW w:w="992" w:type="dxa"/>
            <w:tcBorders>
              <w:bottom w:val="single" w:sz="4" w:space="0" w:color="000000"/>
            </w:tcBorders>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27,3</w:t>
            </w:r>
          </w:p>
        </w:tc>
      </w:tr>
    </w:tbl>
    <w:p w:rsidR="008F0BFC" w:rsidRDefault="008F0BFC" w:rsidP="008F0BFC">
      <w:r>
        <w:br w:type="page"/>
      </w: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567"/>
        <w:gridCol w:w="567"/>
        <w:gridCol w:w="567"/>
        <w:gridCol w:w="992"/>
      </w:tblGrid>
      <w:tr w:rsidR="008F0BFC" w:rsidRPr="00DA5E33" w:rsidTr="005A2024">
        <w:trPr>
          <w:trHeight w:val="285"/>
        </w:trPr>
        <w:tc>
          <w:tcPr>
            <w:tcW w:w="10206" w:type="dxa"/>
            <w:gridSpan w:val="5"/>
            <w:shd w:val="clear" w:color="auto" w:fill="DDD9C3"/>
            <w:hideMark/>
          </w:tcPr>
          <w:p w:rsidR="008F0BFC" w:rsidRPr="00DA5E33" w:rsidRDefault="008F0BFC" w:rsidP="00A25F72">
            <w:pPr>
              <w:spacing w:before="100" w:beforeAutospacing="1" w:after="100" w:afterAutospacing="1"/>
              <w:outlineLvl w:val="0"/>
              <w:rPr>
                <w:rFonts w:ascii="Arial Narrow" w:hAnsi="Arial Narrow" w:cs="Calibri"/>
                <w:b/>
                <w:bCs/>
              </w:rPr>
            </w:pPr>
            <w:r w:rsidRPr="00DA5E33">
              <w:rPr>
                <w:rFonts w:ascii="Arial Narrow" w:hAnsi="Arial Narrow" w:cs="Calibri"/>
                <w:b/>
                <w:bCs/>
              </w:rPr>
              <w:t>A.2.2. Intercambiar Información y Comprenderla</w:t>
            </w:r>
          </w:p>
        </w:tc>
      </w:tr>
      <w:tr w:rsidR="008F0BFC" w:rsidRPr="00DA5E33" w:rsidTr="005A2024">
        <w:trPr>
          <w:trHeight w:val="1083"/>
        </w:trPr>
        <w:tc>
          <w:tcPr>
            <w:tcW w:w="7513" w:type="dxa"/>
            <w:shd w:val="clear" w:color="auto" w:fill="DDD9C3"/>
            <w:hideMark/>
          </w:tcPr>
          <w:p w:rsidR="008F0BFC" w:rsidRPr="00DA5E33" w:rsidRDefault="008F0BFC" w:rsidP="00A25F72">
            <w:pPr>
              <w:spacing w:before="100" w:beforeAutospacing="1" w:after="100" w:afterAutospacing="1"/>
              <w:outlineLvl w:val="0"/>
              <w:rPr>
                <w:rFonts w:ascii="Arial Narrow" w:hAnsi="Arial Narrow" w:cs="Calibri"/>
                <w:b/>
                <w:bCs/>
              </w:rPr>
            </w:pPr>
            <w:r w:rsidRPr="00DA5E33">
              <w:rPr>
                <w:rFonts w:ascii="Arial Narrow" w:hAnsi="Arial Narrow" w:cs="Calibri"/>
                <w:b/>
                <w:bCs/>
              </w:rPr>
              <w:t>A.2.2.1. Obtener la información</w:t>
            </w:r>
            <w:r w:rsidRPr="00DA5E33">
              <w:rPr>
                <w:rFonts w:ascii="Arial Narrow" w:hAnsi="Arial Narrow" w:cs="Calibri"/>
              </w:rPr>
              <w:t xml:space="preserve"> (El estudiante recoge la información relevante para el razonamiento y la toma de decisiones clínicas)</w:t>
            </w:r>
            <w:r w:rsidRPr="00DA5E33">
              <w:rPr>
                <w:rFonts w:ascii="Arial Narrow" w:hAnsi="Arial Narrow" w:cs="Calibri"/>
              </w:rPr>
              <w:br/>
            </w:r>
            <w:r w:rsidRPr="00DA5E33">
              <w:rPr>
                <w:rFonts w:ascii="Arial Narrow" w:hAnsi="Arial Narrow" w:cs="Calibri"/>
                <w:b/>
                <w:bCs/>
              </w:rPr>
              <w:t>El estudiante será capaz de…</w:t>
            </w:r>
          </w:p>
        </w:tc>
        <w:tc>
          <w:tcPr>
            <w:tcW w:w="567" w:type="dxa"/>
            <w:shd w:val="clear" w:color="auto" w:fill="DDD9C3"/>
          </w:tcPr>
          <w:p w:rsidR="008F0BFC" w:rsidRPr="00DA5E33" w:rsidRDefault="008F0BFC" w:rsidP="005A2024">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X*</w:t>
            </w:r>
          </w:p>
        </w:tc>
        <w:tc>
          <w:tcPr>
            <w:tcW w:w="567" w:type="dxa"/>
            <w:shd w:val="clear" w:color="auto" w:fill="DDD9C3"/>
          </w:tcPr>
          <w:p w:rsidR="008F0BFC" w:rsidRPr="00DA5E33" w:rsidRDefault="008F0BFC" w:rsidP="005A2024">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Me*</w:t>
            </w:r>
          </w:p>
        </w:tc>
        <w:tc>
          <w:tcPr>
            <w:tcW w:w="567" w:type="dxa"/>
            <w:shd w:val="clear" w:color="auto" w:fill="DDD9C3"/>
          </w:tcPr>
          <w:p w:rsidR="008F0BFC" w:rsidRPr="00DA5E33" w:rsidRDefault="008F0BFC" w:rsidP="005A2024">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RI*</w:t>
            </w:r>
          </w:p>
        </w:tc>
        <w:tc>
          <w:tcPr>
            <w:tcW w:w="992" w:type="dxa"/>
            <w:shd w:val="clear" w:color="auto" w:fill="DDD9C3"/>
          </w:tcPr>
          <w:p w:rsidR="008F0BFC" w:rsidRPr="00DA5E33" w:rsidRDefault="008F0BFC" w:rsidP="005A2024">
            <w:pPr>
              <w:spacing w:before="100" w:beforeAutospacing="1" w:after="100" w:afterAutospacing="1"/>
              <w:jc w:val="center"/>
              <w:outlineLvl w:val="0"/>
              <w:rPr>
                <w:rFonts w:ascii="Arial Narrow" w:eastAsia="Calibri" w:hAnsi="Arial Narrow" w:cs="Calibri"/>
                <w:b/>
                <w:bCs/>
                <w:lang w:eastAsia="en-US"/>
              </w:rPr>
            </w:pPr>
            <w:r>
              <w:rPr>
                <w:rFonts w:ascii="Arial Narrow" w:eastAsia="Calibri" w:hAnsi="Arial Narrow" w:cs="Calibri"/>
                <w:b/>
                <w:bCs/>
                <w:lang w:eastAsia="en-US"/>
              </w:rPr>
              <w:t xml:space="preserve">% fuera </w:t>
            </w:r>
            <w:r w:rsidRPr="00DA5E33">
              <w:rPr>
                <w:rFonts w:ascii="Arial Narrow" w:eastAsia="Calibri" w:hAnsi="Arial Narrow" w:cs="Calibri"/>
                <w:b/>
                <w:bCs/>
                <w:lang w:eastAsia="en-US"/>
              </w:rPr>
              <w:t>Me*</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24. Diferenciar dolencia (</w:t>
            </w:r>
            <w:proofErr w:type="spellStart"/>
            <w:r w:rsidRPr="00DA5E33">
              <w:rPr>
                <w:rFonts w:ascii="Arial Narrow" w:hAnsi="Arial Narrow" w:cs="Calibri"/>
              </w:rPr>
              <w:t>illness</w:t>
            </w:r>
            <w:proofErr w:type="spellEnd"/>
            <w:r w:rsidRPr="00DA5E33">
              <w:rPr>
                <w:rFonts w:ascii="Arial Narrow" w:hAnsi="Arial Narrow" w:cs="Calibri"/>
              </w:rPr>
              <w:t>) y enfermedad (</w:t>
            </w:r>
            <w:proofErr w:type="spellStart"/>
            <w:r w:rsidRPr="00DA5E33">
              <w:rPr>
                <w:rFonts w:ascii="Arial Narrow" w:hAnsi="Arial Narrow" w:cs="Calibri"/>
              </w:rPr>
              <w:t>disease</w:t>
            </w:r>
            <w:proofErr w:type="spellEnd"/>
            <w:r w:rsidRPr="00DA5E33">
              <w:rPr>
                <w:rFonts w:ascii="Arial Narrow" w:hAnsi="Arial Narrow" w:cs="Calibri"/>
              </w:rPr>
              <w:t>), reconociendo la importancia de explorar ambas  perspectivas.</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8,4</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2,3</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25. Reconocer las ventajas e inconvenientes de las diferentes habilidades comunicacionales para obtener información (preguntas abiertas/cerradas, facilitación…).</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8,2</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1,5</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6,8</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26. Delimitar de manera precisa el/los motivo/s de consulta del paciente (pregunta abierta, sin interrumpir, explorando diferentes motivos…).</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8,4</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4,6</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27. Explorar y obtener el contenido de la historia </w:t>
            </w:r>
            <w:proofErr w:type="spellStart"/>
            <w:r w:rsidRPr="00DA5E33">
              <w:rPr>
                <w:rFonts w:ascii="Arial Narrow" w:hAnsi="Arial Narrow" w:cs="Calibri"/>
              </w:rPr>
              <w:t>bio</w:t>
            </w:r>
            <w:proofErr w:type="spellEnd"/>
            <w:r w:rsidRPr="00DA5E33">
              <w:rPr>
                <w:rFonts w:ascii="Arial Narrow" w:hAnsi="Arial Narrow" w:cs="Calibri"/>
              </w:rPr>
              <w:t>-</w:t>
            </w:r>
            <w:proofErr w:type="spellStart"/>
            <w:r w:rsidRPr="00DA5E33">
              <w:rPr>
                <w:rFonts w:ascii="Arial Narrow" w:hAnsi="Arial Narrow" w:cs="Calibri"/>
              </w:rPr>
              <w:t>psico</w:t>
            </w:r>
            <w:proofErr w:type="spellEnd"/>
            <w:r w:rsidRPr="00DA5E33">
              <w:rPr>
                <w:rFonts w:ascii="Arial Narrow" w:hAnsi="Arial Narrow" w:cs="Calibri"/>
              </w:rPr>
              <w:t>-social del paciente (somático, mental, psicológico, familiar, laboral) cuando la situación lo requiera.</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8,3</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6,8</w:t>
            </w:r>
          </w:p>
        </w:tc>
      </w:tr>
      <w:tr w:rsidR="008F0BFC" w:rsidRPr="00DA5E33" w:rsidTr="005A2024">
        <w:trPr>
          <w:trHeight w:val="945"/>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28. Añadir a la historia clínica cualquier otro elemento de interés desde una perspectiva de la Medicina Centrada en la Persona (necesidades espirituales, dificultades económicas, interferencias con el ocio…) que habitualmente no se registran en los formatos de historia. </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8,2</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8,5</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6,8</w:t>
            </w:r>
          </w:p>
        </w:tc>
      </w:tr>
      <w:tr w:rsidR="008F0BFC" w:rsidRPr="00DA5E33" w:rsidTr="005A2024">
        <w:trPr>
          <w:trHeight w:val="315"/>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29. Utilizar diferentes tipos de preguntas  (abiertas, cerradas y dirigidas…) adecuadas a cada situación.</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8,1</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9,1</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30. Utilizar técnicas verbales y no verbales de escucha activa (reflexión, captar pistas del paciente, parafrasear, facilitar, resumir…).</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8,6</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0,0</w:t>
            </w:r>
          </w:p>
        </w:tc>
      </w:tr>
      <w:tr w:rsidR="008F0BFC" w:rsidRPr="00DA5E33" w:rsidTr="005A2024">
        <w:trPr>
          <w:trHeight w:val="315"/>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31. Resumir al paciente la información obtenida como forma de comprobación.</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8,1</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13,6</w:t>
            </w:r>
          </w:p>
        </w:tc>
      </w:tr>
      <w:tr w:rsidR="008F0BFC" w:rsidRPr="00DA5E33" w:rsidTr="005A2024">
        <w:trPr>
          <w:trHeight w:val="315"/>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32. Valorar  como afecta al paciente su dolencia en la vida diaria, entorno </w:t>
            </w:r>
            <w:proofErr w:type="spellStart"/>
            <w:r w:rsidRPr="00DA5E33">
              <w:rPr>
                <w:rFonts w:ascii="Arial Narrow" w:hAnsi="Arial Narrow" w:cs="Calibri"/>
              </w:rPr>
              <w:t>sociofamiliar</w:t>
            </w:r>
            <w:proofErr w:type="spellEnd"/>
            <w:r w:rsidRPr="00DA5E33">
              <w:rPr>
                <w:rFonts w:ascii="Arial Narrow" w:hAnsi="Arial Narrow" w:cs="Calibri"/>
              </w:rPr>
              <w:t xml:space="preserve"> o laboral.</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8,5</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4,6</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33. Considerar otros factores que puedan influir en las necesidades del paciente cuando consulta  (ideas, temores, sentimientos, preferencias, experiencias previas…).</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8,5</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2,3</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34. Establecer un acompañamiento adecuado de la exploración física (pidiendo permiso, explicando lo que se va a hacer y por qué, compartiendo los hallazgos con el paciente…).</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8,5</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2,3</w:t>
            </w:r>
          </w:p>
        </w:tc>
      </w:tr>
      <w:tr w:rsidR="008F0BFC" w:rsidRPr="00DA5E33" w:rsidTr="005A2024">
        <w:trPr>
          <w:trHeight w:val="315"/>
        </w:trPr>
        <w:tc>
          <w:tcPr>
            <w:tcW w:w="7513" w:type="dxa"/>
            <w:noWrap/>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35. Reconocer las divergencias entre los valores y normas del médico y los del paciente, respetándolos sin juzgarlos.</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8,4</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2,3</w:t>
            </w:r>
          </w:p>
        </w:tc>
      </w:tr>
      <w:tr w:rsidR="008F0BFC" w:rsidRPr="00DA5E33" w:rsidTr="005A2024">
        <w:trPr>
          <w:trHeight w:val="630"/>
        </w:trPr>
        <w:tc>
          <w:tcPr>
            <w:tcW w:w="7513" w:type="dxa"/>
            <w:tcBorders>
              <w:bottom w:val="single" w:sz="4" w:space="0" w:color="000000"/>
            </w:tcBorders>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36. Mostrar apertura y disposición para tratar de manera apropiada cualquier aspecto importante para el paciente en relación con su salud empleando conductas adecuadas para su consideración.</w:t>
            </w:r>
          </w:p>
        </w:tc>
        <w:tc>
          <w:tcPr>
            <w:tcW w:w="567" w:type="dxa"/>
            <w:tcBorders>
              <w:bottom w:val="single" w:sz="4" w:space="0" w:color="000000"/>
            </w:tcBorders>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7,9</w:t>
            </w:r>
          </w:p>
        </w:tc>
        <w:tc>
          <w:tcPr>
            <w:tcW w:w="567" w:type="dxa"/>
            <w:tcBorders>
              <w:bottom w:val="single" w:sz="4" w:space="0" w:color="000000"/>
            </w:tcBorders>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8,0</w:t>
            </w:r>
          </w:p>
        </w:tc>
        <w:tc>
          <w:tcPr>
            <w:tcW w:w="567" w:type="dxa"/>
            <w:tcBorders>
              <w:bottom w:val="single" w:sz="4" w:space="0" w:color="000000"/>
            </w:tcBorders>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2,0</w:t>
            </w:r>
          </w:p>
        </w:tc>
        <w:tc>
          <w:tcPr>
            <w:tcW w:w="992" w:type="dxa"/>
            <w:tcBorders>
              <w:bottom w:val="single" w:sz="4" w:space="0" w:color="000000"/>
            </w:tcBorders>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6,8</w:t>
            </w:r>
          </w:p>
        </w:tc>
      </w:tr>
    </w:tbl>
    <w:p w:rsidR="008F0BFC" w:rsidRDefault="008F0BFC" w:rsidP="008F0BFC">
      <w:r>
        <w:br w:type="page"/>
      </w: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567"/>
        <w:gridCol w:w="567"/>
        <w:gridCol w:w="567"/>
        <w:gridCol w:w="992"/>
      </w:tblGrid>
      <w:tr w:rsidR="008F0BFC" w:rsidRPr="00DA5E33" w:rsidTr="005A2024">
        <w:trPr>
          <w:trHeight w:val="864"/>
        </w:trPr>
        <w:tc>
          <w:tcPr>
            <w:tcW w:w="7513" w:type="dxa"/>
            <w:shd w:val="clear" w:color="auto" w:fill="DDD9C3"/>
            <w:hideMark/>
          </w:tcPr>
          <w:p w:rsidR="008F0BFC" w:rsidRPr="00DA5E33" w:rsidRDefault="008F0BFC" w:rsidP="00A25F72">
            <w:pPr>
              <w:spacing w:before="100" w:beforeAutospacing="1" w:after="100" w:afterAutospacing="1"/>
              <w:outlineLvl w:val="0"/>
              <w:rPr>
                <w:rFonts w:ascii="Arial Narrow" w:hAnsi="Arial Narrow" w:cs="Calibri"/>
                <w:b/>
                <w:bCs/>
              </w:rPr>
            </w:pPr>
            <w:r w:rsidRPr="00DA5E33">
              <w:rPr>
                <w:rFonts w:ascii="Arial Narrow" w:hAnsi="Arial Narrow" w:cs="Calibri"/>
                <w:b/>
                <w:bCs/>
              </w:rPr>
              <w:t xml:space="preserve">A.2.2.2. Ofrecer la información </w:t>
            </w:r>
            <w:r w:rsidRPr="00DA5E33">
              <w:rPr>
                <w:rFonts w:ascii="Arial Narrow" w:hAnsi="Arial Narrow" w:cs="Calibri"/>
              </w:rPr>
              <w:t>(El estudiante ofrece de forma clara y personalizada la información que el paciente necesita para tomar decisiones)</w:t>
            </w:r>
            <w:r w:rsidRPr="00DA5E33">
              <w:rPr>
                <w:rFonts w:ascii="Arial Narrow" w:hAnsi="Arial Narrow" w:cs="Calibri"/>
                <w:b/>
                <w:bCs/>
              </w:rPr>
              <w:br/>
              <w:t>El estudiante será capaz de…</w:t>
            </w:r>
          </w:p>
        </w:tc>
        <w:tc>
          <w:tcPr>
            <w:tcW w:w="567" w:type="dxa"/>
            <w:shd w:val="clear" w:color="auto" w:fill="DDD9C3"/>
          </w:tcPr>
          <w:p w:rsidR="008F0BFC" w:rsidRPr="00DA5E33" w:rsidRDefault="008F0BFC" w:rsidP="005A2024">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X*</w:t>
            </w:r>
          </w:p>
        </w:tc>
        <w:tc>
          <w:tcPr>
            <w:tcW w:w="567" w:type="dxa"/>
            <w:shd w:val="clear" w:color="auto" w:fill="DDD9C3"/>
          </w:tcPr>
          <w:p w:rsidR="008F0BFC" w:rsidRPr="00DA5E33" w:rsidRDefault="008F0BFC" w:rsidP="005A2024">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Me*</w:t>
            </w:r>
          </w:p>
        </w:tc>
        <w:tc>
          <w:tcPr>
            <w:tcW w:w="567" w:type="dxa"/>
            <w:shd w:val="clear" w:color="auto" w:fill="DDD9C3"/>
          </w:tcPr>
          <w:p w:rsidR="008F0BFC" w:rsidRPr="00DA5E33" w:rsidRDefault="008F0BFC" w:rsidP="005A2024">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RI*</w:t>
            </w:r>
          </w:p>
        </w:tc>
        <w:tc>
          <w:tcPr>
            <w:tcW w:w="992" w:type="dxa"/>
            <w:shd w:val="clear" w:color="auto" w:fill="DDD9C3"/>
          </w:tcPr>
          <w:p w:rsidR="008F0BFC" w:rsidRPr="00DA5E33" w:rsidRDefault="008F0BFC" w:rsidP="005A2024">
            <w:pPr>
              <w:spacing w:before="100" w:beforeAutospacing="1" w:after="100" w:afterAutospacing="1"/>
              <w:jc w:val="center"/>
              <w:outlineLvl w:val="0"/>
              <w:rPr>
                <w:rFonts w:ascii="Arial Narrow" w:eastAsia="Calibri" w:hAnsi="Arial Narrow" w:cs="Calibri"/>
                <w:b/>
                <w:bCs/>
                <w:lang w:eastAsia="en-US"/>
              </w:rPr>
            </w:pPr>
            <w:r>
              <w:rPr>
                <w:rFonts w:ascii="Arial Narrow" w:eastAsia="Calibri" w:hAnsi="Arial Narrow" w:cs="Calibri"/>
                <w:b/>
                <w:bCs/>
                <w:lang w:eastAsia="en-US"/>
              </w:rPr>
              <w:t xml:space="preserve">% fuera </w:t>
            </w:r>
            <w:r w:rsidRPr="00DA5E33">
              <w:rPr>
                <w:rFonts w:ascii="Arial Narrow" w:eastAsia="Calibri" w:hAnsi="Arial Narrow" w:cs="Calibri"/>
                <w:b/>
                <w:bCs/>
                <w:lang w:eastAsia="en-US"/>
              </w:rPr>
              <w:t>Me*</w:t>
            </w:r>
          </w:p>
        </w:tc>
      </w:tr>
      <w:tr w:rsidR="008F0BFC" w:rsidRPr="00DA5E33" w:rsidTr="005A2024">
        <w:trPr>
          <w:trHeight w:val="630"/>
        </w:trPr>
        <w:tc>
          <w:tcPr>
            <w:tcW w:w="7513" w:type="dxa"/>
            <w:noWrap/>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37. Valorar críticamente los resultados de la investigación científica sobre la transmisión de información a los pacientes y sus implicaciones en la práctica clínica.</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sz w:val="22"/>
                <w:szCs w:val="22"/>
              </w:rPr>
              <w:t>7,9</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sz w:val="22"/>
                <w:szCs w:val="22"/>
              </w:rPr>
              <w:t>8,0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sz w:val="22"/>
                <w:szCs w:val="22"/>
              </w:rPr>
              <w:t>2,0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sz w:val="22"/>
                <w:szCs w:val="22"/>
              </w:rPr>
              <w:t>11,4</w:t>
            </w:r>
          </w:p>
        </w:tc>
      </w:tr>
      <w:tr w:rsidR="008F0BFC" w:rsidRPr="00DA5E33" w:rsidTr="005A2024">
        <w:trPr>
          <w:trHeight w:val="630"/>
        </w:trPr>
        <w:tc>
          <w:tcPr>
            <w:tcW w:w="7513" w:type="dxa"/>
            <w:noWrap/>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38. Describir los principios básicos para informar sobre riesgos de forma adecuada (evitar las manipulaciones de cualquier tipo y/o parcialidad en la presentación de cifras y probabilidades…).</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8,3</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6,8</w:t>
            </w:r>
          </w:p>
        </w:tc>
      </w:tr>
      <w:tr w:rsidR="008F0BFC" w:rsidRPr="00DA5E33" w:rsidTr="005A2024">
        <w:trPr>
          <w:trHeight w:val="315"/>
        </w:trPr>
        <w:tc>
          <w:tcPr>
            <w:tcW w:w="7513" w:type="dxa"/>
            <w:noWrap/>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39. Comunicar el riesgo al paciente haciendo un uso personalizado de los indicadores (medidas de riesgo).</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7,7</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18,2</w:t>
            </w:r>
          </w:p>
        </w:tc>
      </w:tr>
      <w:tr w:rsidR="008F0BFC" w:rsidRPr="00DA5E33" w:rsidTr="005A2024">
        <w:trPr>
          <w:trHeight w:val="630"/>
        </w:trPr>
        <w:tc>
          <w:tcPr>
            <w:tcW w:w="7513" w:type="dxa"/>
            <w:noWrap/>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40. Suplementar esta información verbal con diagramas, modelos, información escrita e instrucciones cuando sea necesario.</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8,1</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8,5</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11,4</w:t>
            </w:r>
          </w:p>
        </w:tc>
      </w:tr>
      <w:tr w:rsidR="008F0BFC" w:rsidRPr="00DA5E33" w:rsidTr="005A2024">
        <w:trPr>
          <w:trHeight w:val="630"/>
        </w:trPr>
        <w:tc>
          <w:tcPr>
            <w:tcW w:w="7513" w:type="dxa"/>
            <w:noWrap/>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41. Estimar el nivel de conocimiento del paciente sobre su problema y hasta dónde desea saber, para  entregar la información que realmente requiere.</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8,5</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2,3</w:t>
            </w:r>
          </w:p>
        </w:tc>
      </w:tr>
      <w:tr w:rsidR="008F0BFC" w:rsidRPr="00DA5E33" w:rsidTr="005A2024">
        <w:trPr>
          <w:trHeight w:val="315"/>
        </w:trPr>
        <w:tc>
          <w:tcPr>
            <w:tcW w:w="7513" w:type="dxa"/>
            <w:noWrap/>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42. Ofrecer la información al paciente de forma oportuna (circunstancia adecuada). </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8,3</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6,8</w:t>
            </w:r>
          </w:p>
        </w:tc>
      </w:tr>
      <w:tr w:rsidR="008F0BFC" w:rsidRPr="00DA5E33" w:rsidTr="005A2024">
        <w:trPr>
          <w:trHeight w:val="315"/>
        </w:trPr>
        <w:tc>
          <w:tcPr>
            <w:tcW w:w="7513" w:type="dxa"/>
            <w:noWrap/>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43. Adaptar la comunicación al nivel de comprensión y lenguaje del paciente, evitando jerga médica.</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8,7</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0,0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0,0</w:t>
            </w:r>
          </w:p>
        </w:tc>
      </w:tr>
      <w:tr w:rsidR="008F0BFC" w:rsidRPr="00DA5E33" w:rsidTr="005A2024">
        <w:trPr>
          <w:trHeight w:val="630"/>
        </w:trPr>
        <w:tc>
          <w:tcPr>
            <w:tcW w:w="7513" w:type="dxa"/>
            <w:noWrap/>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44. Proporcionar información centrada en el paciente, incorporando su perspectiva y haciéndola significativa para él.</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8,4</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4,6</w:t>
            </w:r>
          </w:p>
        </w:tc>
      </w:tr>
      <w:tr w:rsidR="008F0BFC" w:rsidRPr="00DA5E33" w:rsidTr="005A2024">
        <w:trPr>
          <w:trHeight w:val="315"/>
        </w:trPr>
        <w:tc>
          <w:tcPr>
            <w:tcW w:w="7513" w:type="dxa"/>
            <w:noWrap/>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45. Discutir de manera centrada en el paciente, beneficios, riesgos y resultados esperados.</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8,1</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9,1</w:t>
            </w:r>
          </w:p>
        </w:tc>
      </w:tr>
      <w:tr w:rsidR="008F0BFC" w:rsidRPr="00DA5E33" w:rsidTr="005A2024">
        <w:trPr>
          <w:trHeight w:val="315"/>
        </w:trPr>
        <w:tc>
          <w:tcPr>
            <w:tcW w:w="7513" w:type="dxa"/>
            <w:noWrap/>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46. Comprobar que el paciente ha entendido la información suministrada, facilitando la expresión de dudas.</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8,6</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0,0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2,3</w:t>
            </w:r>
          </w:p>
        </w:tc>
      </w:tr>
      <w:tr w:rsidR="008F0BFC" w:rsidRPr="00DA5E33" w:rsidTr="005A2024">
        <w:trPr>
          <w:trHeight w:val="630"/>
        </w:trPr>
        <w:tc>
          <w:tcPr>
            <w:tcW w:w="7513" w:type="dxa"/>
            <w:noWrap/>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47. Explicar al paciente la información precisa para minimizar la incertidumbre en el proceso de toma de  decisiones.</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8,1</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6,8</w:t>
            </w:r>
          </w:p>
        </w:tc>
      </w:tr>
      <w:tr w:rsidR="008F0BFC" w:rsidRPr="00DA5E33" w:rsidTr="005A2024">
        <w:trPr>
          <w:trHeight w:val="315"/>
        </w:trPr>
        <w:tc>
          <w:tcPr>
            <w:tcW w:w="7513" w:type="dxa"/>
            <w:tcBorders>
              <w:bottom w:val="single" w:sz="4" w:space="0" w:color="000000"/>
            </w:tcBorders>
            <w:noWrap/>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48. Compartir, con el consentimiento del paciente, la información con terceros (colegas, familia y otros…).</w:t>
            </w:r>
          </w:p>
        </w:tc>
        <w:tc>
          <w:tcPr>
            <w:tcW w:w="567" w:type="dxa"/>
            <w:tcBorders>
              <w:bottom w:val="single" w:sz="4" w:space="0" w:color="000000"/>
            </w:tcBorders>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8,0</w:t>
            </w:r>
          </w:p>
        </w:tc>
        <w:tc>
          <w:tcPr>
            <w:tcW w:w="567" w:type="dxa"/>
            <w:tcBorders>
              <w:bottom w:val="single" w:sz="4" w:space="0" w:color="000000"/>
            </w:tcBorders>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tcBorders>
              <w:bottom w:val="single" w:sz="4" w:space="0" w:color="000000"/>
            </w:tcBorders>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2,0</w:t>
            </w:r>
          </w:p>
        </w:tc>
        <w:tc>
          <w:tcPr>
            <w:tcW w:w="992" w:type="dxa"/>
            <w:tcBorders>
              <w:bottom w:val="single" w:sz="4" w:space="0" w:color="000000"/>
            </w:tcBorders>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15,9</w:t>
            </w:r>
          </w:p>
        </w:tc>
      </w:tr>
    </w:tbl>
    <w:p w:rsidR="008F0BFC" w:rsidRPr="00A00BA4" w:rsidRDefault="008F0BFC" w:rsidP="008F0BFC">
      <w:pPr>
        <w:rPr>
          <w:rFonts w:ascii="Arial Narrow" w:hAnsi="Arial Narrow"/>
          <w:b/>
          <w:color w:val="006600"/>
          <w:sz w:val="32"/>
          <w:szCs w:val="32"/>
        </w:rPr>
      </w:pPr>
      <w:r>
        <w:br w:type="page"/>
      </w: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567"/>
        <w:gridCol w:w="567"/>
        <w:gridCol w:w="567"/>
        <w:gridCol w:w="992"/>
      </w:tblGrid>
      <w:tr w:rsidR="008F0BFC" w:rsidRPr="00DA5E33" w:rsidTr="005A2024">
        <w:trPr>
          <w:trHeight w:val="1044"/>
        </w:trPr>
        <w:tc>
          <w:tcPr>
            <w:tcW w:w="7513" w:type="dxa"/>
            <w:shd w:val="clear" w:color="auto" w:fill="DDD9C3"/>
            <w:hideMark/>
          </w:tcPr>
          <w:p w:rsidR="008F0BFC" w:rsidRPr="00DA5E33" w:rsidRDefault="008F0BFC" w:rsidP="00A25F72">
            <w:pPr>
              <w:spacing w:before="100" w:beforeAutospacing="1" w:after="100" w:afterAutospacing="1"/>
              <w:outlineLvl w:val="0"/>
              <w:rPr>
                <w:rFonts w:ascii="Arial Narrow" w:hAnsi="Arial Narrow" w:cs="Calibri"/>
                <w:b/>
                <w:bCs/>
              </w:rPr>
            </w:pPr>
            <w:r w:rsidRPr="00DA5E33">
              <w:rPr>
                <w:rFonts w:ascii="Arial Narrow" w:hAnsi="Arial Narrow" w:cs="Calibri"/>
                <w:b/>
                <w:bCs/>
              </w:rPr>
              <w:t>A.2.3. Acordar y Ayudar al paciente a llevar a cabo lo acordado en la tomar de decisiones</w:t>
            </w:r>
            <w:r w:rsidRPr="00DA5E33">
              <w:rPr>
                <w:rFonts w:ascii="Arial Narrow" w:hAnsi="Arial Narrow" w:cs="Calibri"/>
              </w:rPr>
              <w:t xml:space="preserve"> (El estudiante toma decisiones considerando la participación y responsabilidad del paciente, tomando en consideración sus preferencias)</w:t>
            </w:r>
            <w:r w:rsidRPr="00DA5E33">
              <w:rPr>
                <w:rFonts w:ascii="Arial Narrow" w:hAnsi="Arial Narrow" w:cs="Calibri"/>
              </w:rPr>
              <w:br/>
            </w:r>
            <w:r w:rsidRPr="00DA5E33">
              <w:rPr>
                <w:rFonts w:ascii="Arial Narrow" w:hAnsi="Arial Narrow" w:cs="Calibri"/>
                <w:b/>
                <w:bCs/>
              </w:rPr>
              <w:t>El estudiante será capaz de…</w:t>
            </w:r>
          </w:p>
        </w:tc>
        <w:tc>
          <w:tcPr>
            <w:tcW w:w="567" w:type="dxa"/>
            <w:shd w:val="clear" w:color="auto" w:fill="DDD9C3"/>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X*</w:t>
            </w:r>
          </w:p>
        </w:tc>
        <w:tc>
          <w:tcPr>
            <w:tcW w:w="567" w:type="dxa"/>
            <w:shd w:val="clear" w:color="auto" w:fill="DDD9C3"/>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Me*</w:t>
            </w:r>
          </w:p>
        </w:tc>
        <w:tc>
          <w:tcPr>
            <w:tcW w:w="567" w:type="dxa"/>
            <w:shd w:val="clear" w:color="auto" w:fill="DDD9C3"/>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RI*</w:t>
            </w:r>
          </w:p>
        </w:tc>
        <w:tc>
          <w:tcPr>
            <w:tcW w:w="992" w:type="dxa"/>
            <w:shd w:val="clear" w:color="auto" w:fill="DDD9C3"/>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Pr>
                <w:rFonts w:ascii="Arial Narrow" w:eastAsia="Calibri" w:hAnsi="Arial Narrow" w:cs="Calibri"/>
                <w:b/>
                <w:bCs/>
                <w:lang w:eastAsia="en-US"/>
              </w:rPr>
              <w:t xml:space="preserve">% fuera </w:t>
            </w:r>
            <w:r w:rsidRPr="00DA5E33">
              <w:rPr>
                <w:rFonts w:ascii="Arial Narrow" w:eastAsia="Calibri" w:hAnsi="Arial Narrow" w:cs="Calibri"/>
                <w:b/>
                <w:bCs/>
                <w:lang w:eastAsia="en-US"/>
              </w:rPr>
              <w:t>Me*</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49. Diferenciar los distintos modelos de participación del paciente en la toma de decisiones (paternalista, consumista, colaborador…). </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7,3</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2,5</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25,0</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50. Determinar cuál debe ser su rol como médico más oportuno en el proceso de toma de decisiones ante cada paciente. </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7,8</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13,6</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51. Aceptar el papel de la incertidumbre como elemento sustancial del razonamiento clínico y de la toma de decisiones.</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7,9</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13,6</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52. Reconocer los elementos que contribuyen a la presencia de incertidumbre (falta de conocimiento del profesional, ausencia de evidencia…) en el ámbito de la toma de decisiones clínicas.</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7,6</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8,5</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20,5</w:t>
            </w:r>
          </w:p>
        </w:tc>
      </w:tr>
      <w:tr w:rsidR="008F0BFC" w:rsidRPr="00DA5E33" w:rsidTr="005A2024">
        <w:trPr>
          <w:trHeight w:val="315"/>
        </w:trPr>
        <w:tc>
          <w:tcPr>
            <w:tcW w:w="7513" w:type="dxa"/>
            <w:noWrap/>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53. Comunicar a los pacientes  que existe incertidumbre de manera adaptada al grado de tolerancia de éste.</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7,8</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22,7</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54. Explorar las necesidades, recursos (información, autonomía, confianza, responsabilidad, rasgos psicológicos…) y disposición del paciente para facilitar su implicación en la toma de decisiones.</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8,3</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4,6</w:t>
            </w:r>
          </w:p>
        </w:tc>
      </w:tr>
      <w:tr w:rsidR="008F0BFC" w:rsidRPr="00DA5E33" w:rsidTr="005A2024">
        <w:trPr>
          <w:trHeight w:val="315"/>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55. Alcanzar acuerdos con el paciente utilizando habilidades de negociación. </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1,5</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6,8</w:t>
            </w:r>
          </w:p>
        </w:tc>
      </w:tr>
      <w:tr w:rsidR="008F0BFC" w:rsidRPr="00DA5E33" w:rsidTr="005A2024">
        <w:trPr>
          <w:trHeight w:val="315"/>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56. Comprender el papel en la práctica clínica de las ayudas para la toma de decisiones (</w:t>
            </w:r>
            <w:proofErr w:type="spellStart"/>
            <w:r w:rsidRPr="00DA5E33">
              <w:rPr>
                <w:rFonts w:ascii="Arial Narrow" w:hAnsi="Arial Narrow" w:cs="Calibri"/>
              </w:rPr>
              <w:t>decision</w:t>
            </w:r>
            <w:proofErr w:type="spellEnd"/>
            <w:r w:rsidRPr="00DA5E33">
              <w:rPr>
                <w:rFonts w:ascii="Arial Narrow" w:hAnsi="Arial Narrow" w:cs="Calibri"/>
              </w:rPr>
              <w:t xml:space="preserve"> </w:t>
            </w:r>
            <w:proofErr w:type="spellStart"/>
            <w:r w:rsidRPr="00DA5E33">
              <w:rPr>
                <w:rFonts w:ascii="Arial Narrow" w:hAnsi="Arial Narrow" w:cs="Calibri"/>
              </w:rPr>
              <w:t>aids</w:t>
            </w:r>
            <w:proofErr w:type="spellEnd"/>
            <w:r w:rsidRPr="00DA5E33">
              <w:rPr>
                <w:rFonts w:ascii="Arial Narrow" w:hAnsi="Arial Narrow" w:cs="Calibri"/>
              </w:rPr>
              <w:t>).</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sz w:val="22"/>
                <w:szCs w:val="22"/>
              </w:rPr>
              <w:t>6,9</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sz w:val="22"/>
                <w:szCs w:val="22"/>
              </w:rPr>
              <w:t>7,5</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sz w:val="22"/>
                <w:szCs w:val="22"/>
              </w:rPr>
              <w:t>2,0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sz w:val="22"/>
                <w:szCs w:val="22"/>
              </w:rPr>
              <w:t>29,6</w:t>
            </w:r>
          </w:p>
        </w:tc>
      </w:tr>
      <w:tr w:rsidR="008F0BFC" w:rsidRPr="00DA5E33" w:rsidTr="005A2024">
        <w:trPr>
          <w:trHeight w:val="315"/>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57. Capacitar al paciente en el uso de ayudas para la toma de  decisiones para utilizarlas en la discusión. </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6,9</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3,0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29,6</w:t>
            </w:r>
          </w:p>
        </w:tc>
      </w:tr>
      <w:tr w:rsidR="008F0BFC" w:rsidRPr="00DA5E33" w:rsidTr="005A2024">
        <w:trPr>
          <w:trHeight w:val="315"/>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58. Clarificar con el paciente cómo y cuándo debe tomarse la decisión.</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7,7</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15,9</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59. Discutir con el paciente el espectro de las posibles consecuencias de una decisión  (explicarle las consecuencias de escoger/no escoger la opción discutida).</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6,8</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60. Ofrecer al paciente la opción de abrir y enriquecer la discusión de toma de decisiones incluyendo a terceros (colegas, familiares).</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7,9</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11,4</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61. Usar el consentimiento informado de forma que el paciente comprenda las características y consecuencias del procedimiento.</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8,3</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6,8</w:t>
            </w:r>
          </w:p>
        </w:tc>
      </w:tr>
      <w:tr w:rsidR="008F0BFC" w:rsidRPr="00DA5E33" w:rsidTr="005A2024">
        <w:trPr>
          <w:trHeight w:val="315"/>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62. Adaptar el plan / intervención a los recursos y fortalezas del paciente.</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8,5</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0,0</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63. Cerrar el proceso al final de la consulta utilizando las estrategias comunicacionales adecuadas (resumiendo, resaltando aspectos claves, anticipando posibles evoluciones y orientando al respecto…).</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8,7</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0,5</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0,0</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64. Asumir la implicación del paciente y su responsabilidad en el proceso de toma de decisiones y emplear conductas adecuadas para ello.</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7,8</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8,0</w:t>
            </w:r>
          </w:p>
        </w:tc>
        <w:tc>
          <w:tcPr>
            <w:tcW w:w="567"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2,0</w:t>
            </w:r>
          </w:p>
        </w:tc>
        <w:tc>
          <w:tcPr>
            <w:tcW w:w="992" w:type="dxa"/>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20,5</w:t>
            </w:r>
          </w:p>
        </w:tc>
      </w:tr>
      <w:tr w:rsidR="008F0BFC" w:rsidRPr="00DA5E33" w:rsidTr="005A2024">
        <w:trPr>
          <w:trHeight w:val="315"/>
        </w:trPr>
        <w:tc>
          <w:tcPr>
            <w:tcW w:w="7513" w:type="dxa"/>
            <w:tcBorders>
              <w:bottom w:val="single" w:sz="4" w:space="0" w:color="000000"/>
            </w:tcBorders>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65. Estar dispuesto a reevaluar y revisar sus propias decisiones. </w:t>
            </w:r>
          </w:p>
        </w:tc>
        <w:tc>
          <w:tcPr>
            <w:tcW w:w="567" w:type="dxa"/>
            <w:tcBorders>
              <w:bottom w:val="single" w:sz="4" w:space="0" w:color="000000"/>
            </w:tcBorders>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8,2</w:t>
            </w:r>
          </w:p>
        </w:tc>
        <w:tc>
          <w:tcPr>
            <w:tcW w:w="567" w:type="dxa"/>
            <w:tcBorders>
              <w:bottom w:val="single" w:sz="4" w:space="0" w:color="000000"/>
            </w:tcBorders>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9,0</w:t>
            </w:r>
          </w:p>
        </w:tc>
        <w:tc>
          <w:tcPr>
            <w:tcW w:w="567" w:type="dxa"/>
            <w:tcBorders>
              <w:bottom w:val="single" w:sz="4" w:space="0" w:color="000000"/>
            </w:tcBorders>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1,0</w:t>
            </w:r>
          </w:p>
        </w:tc>
        <w:tc>
          <w:tcPr>
            <w:tcW w:w="992" w:type="dxa"/>
            <w:tcBorders>
              <w:bottom w:val="single" w:sz="4" w:space="0" w:color="000000"/>
            </w:tcBorders>
            <w:noWrap/>
            <w:hideMark/>
          </w:tcPr>
          <w:p w:rsidR="008F0BFC" w:rsidRPr="00DA5E33" w:rsidRDefault="008F0BFC" w:rsidP="00A25F72">
            <w:pPr>
              <w:spacing w:before="100" w:beforeAutospacing="1" w:after="100" w:afterAutospacing="1"/>
              <w:jc w:val="center"/>
              <w:outlineLvl w:val="0"/>
              <w:rPr>
                <w:rFonts w:ascii="Arial Narrow" w:hAnsi="Arial Narrow" w:cs="Calibri"/>
              </w:rPr>
            </w:pPr>
            <w:r w:rsidRPr="00DA5E33">
              <w:rPr>
                <w:rFonts w:ascii="Arial Narrow" w:hAnsi="Arial Narrow" w:cs="Calibri"/>
              </w:rPr>
              <w:t>9,1</w:t>
            </w:r>
          </w:p>
        </w:tc>
      </w:tr>
    </w:tbl>
    <w:p w:rsidR="008F0BFC" w:rsidRDefault="008F0BFC" w:rsidP="008F0BFC">
      <w:r>
        <w:br w:type="page"/>
      </w: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567"/>
        <w:gridCol w:w="567"/>
        <w:gridCol w:w="567"/>
        <w:gridCol w:w="992"/>
      </w:tblGrid>
      <w:tr w:rsidR="008F0BFC" w:rsidRPr="00DA5E33" w:rsidTr="005A2024">
        <w:trPr>
          <w:trHeight w:val="1290"/>
        </w:trPr>
        <w:tc>
          <w:tcPr>
            <w:tcW w:w="7513" w:type="dxa"/>
            <w:shd w:val="clear" w:color="auto" w:fill="DDD9C3"/>
            <w:hideMark/>
          </w:tcPr>
          <w:p w:rsidR="008F0BFC" w:rsidRPr="00DA5E33" w:rsidRDefault="008F0BFC" w:rsidP="00A25F72">
            <w:pPr>
              <w:spacing w:before="100" w:beforeAutospacing="1" w:after="100" w:afterAutospacing="1"/>
              <w:outlineLvl w:val="0"/>
              <w:rPr>
                <w:rFonts w:ascii="Arial Narrow" w:hAnsi="Arial Narrow" w:cs="Calibri"/>
              </w:rPr>
            </w:pPr>
            <w:r w:rsidRPr="00DA5E33">
              <w:rPr>
                <w:rFonts w:ascii="Arial Narrow" w:hAnsi="Arial Narrow" w:cs="Calibri"/>
                <w:b/>
                <w:bCs/>
              </w:rPr>
              <w:t xml:space="preserve">B) COMUNICACION CON LA FAMILIA DEL PACIENTE </w:t>
            </w:r>
            <w:r w:rsidRPr="00DA5E33">
              <w:rPr>
                <w:rFonts w:ascii="Arial Narrow" w:hAnsi="Arial Narrow" w:cs="Calibri"/>
              </w:rPr>
              <w:br/>
            </w:r>
            <w:r w:rsidRPr="00DA5E33">
              <w:rPr>
                <w:rFonts w:ascii="Arial Narrow" w:hAnsi="Arial Narrow" w:cs="Calibri"/>
                <w:b/>
                <w:bCs/>
              </w:rPr>
              <w:t>B.1. Contexto familiar del paciente</w:t>
            </w:r>
            <w:r w:rsidRPr="00DA5E33">
              <w:rPr>
                <w:rFonts w:ascii="Arial Narrow" w:hAnsi="Arial Narrow" w:cs="Calibri"/>
              </w:rPr>
              <w:t xml:space="preserve"> (El estudiante reconoce y evalúa el papel de la familia en la atención clínica a pacientes y establece una comunicación efectiva con ella en beneficio de éste)</w:t>
            </w:r>
            <w:r w:rsidRPr="00DA5E33">
              <w:rPr>
                <w:rFonts w:ascii="Arial Narrow" w:hAnsi="Arial Narrow" w:cs="Calibri"/>
              </w:rPr>
              <w:br/>
            </w:r>
            <w:r w:rsidRPr="00DA5E33">
              <w:rPr>
                <w:rFonts w:ascii="Arial Narrow" w:hAnsi="Arial Narrow" w:cs="Calibri"/>
                <w:b/>
                <w:bCs/>
              </w:rPr>
              <w:t>El estudiante será capaz de…</w:t>
            </w:r>
          </w:p>
        </w:tc>
        <w:tc>
          <w:tcPr>
            <w:tcW w:w="567"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X</w:t>
            </w:r>
          </w:p>
        </w:tc>
        <w:tc>
          <w:tcPr>
            <w:tcW w:w="567" w:type="dxa"/>
            <w:shd w:val="clear" w:color="auto" w:fill="DDD9C3"/>
            <w:noWrap/>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Me</w:t>
            </w:r>
          </w:p>
        </w:tc>
        <w:tc>
          <w:tcPr>
            <w:tcW w:w="567"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RI</w:t>
            </w:r>
          </w:p>
        </w:tc>
        <w:tc>
          <w:tcPr>
            <w:tcW w:w="992"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 fuera Me</w:t>
            </w:r>
          </w:p>
        </w:tc>
      </w:tr>
      <w:tr w:rsidR="008F0BFC" w:rsidRPr="00DA5E33" w:rsidTr="005A2024">
        <w:trPr>
          <w:trHeight w:val="315"/>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66. Conocer el papel de la familia como un sistema  en la atención y cuidados de los pacientes.</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8,2</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1,5</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9,1</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67. Describir los modelos básicos que explican el comportamiento de las familias y del paciente como uno de sus miembros (el ciclo vital individual y familiar).</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7,6</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2,0</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20,5</w:t>
            </w:r>
          </w:p>
        </w:tc>
      </w:tr>
      <w:tr w:rsidR="008F0BFC" w:rsidRPr="00DA5E33" w:rsidTr="005A2024">
        <w:trPr>
          <w:trHeight w:val="945"/>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68. Conocer y emplear los métodos y herramientas para la identificación de la estructura y funcionamiento familiar (</w:t>
            </w:r>
            <w:proofErr w:type="spellStart"/>
            <w:r w:rsidRPr="00DA5E33">
              <w:rPr>
                <w:rFonts w:ascii="Arial Narrow" w:hAnsi="Arial Narrow" w:cs="Calibri"/>
              </w:rPr>
              <w:t>genogramas</w:t>
            </w:r>
            <w:proofErr w:type="spellEnd"/>
            <w:r w:rsidRPr="00DA5E33">
              <w:rPr>
                <w:rFonts w:ascii="Arial Narrow" w:hAnsi="Arial Narrow" w:cs="Calibri"/>
              </w:rPr>
              <w:t xml:space="preserve"> o </w:t>
            </w:r>
            <w:proofErr w:type="spellStart"/>
            <w:r w:rsidRPr="00DA5E33">
              <w:rPr>
                <w:rFonts w:ascii="Arial Narrow" w:hAnsi="Arial Narrow" w:cs="Calibri"/>
              </w:rPr>
              <w:t>familiograma</w:t>
            </w:r>
            <w:proofErr w:type="spellEnd"/>
            <w:r w:rsidRPr="00DA5E33">
              <w:rPr>
                <w:rFonts w:ascii="Arial Narrow" w:hAnsi="Arial Narrow" w:cs="Calibri"/>
              </w:rPr>
              <w:t>, función familiar, acontecimientos estresantes, red social…).</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7,2</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7,0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3,0</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27,3</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69. Considerar los patrones de respuesta de la familia ante la enfermedad y los acontecimientos vitales estresantes cuando se atiende a un paciente. </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7,6</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2,0</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15,9</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70. Identificar al miembro(s) de la familia que cumple el rol de cuidador principal, para incorporarlo al proceso y valorarlo en este rol.</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7,9</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11,4</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71. Solicitar y sintetizar la información relevante de otros miembros de la familia y cuidadores del paciente, si es necesario y se encuentran disponibles.</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1,5</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9,1</w:t>
            </w:r>
          </w:p>
        </w:tc>
      </w:tr>
      <w:tr w:rsidR="008F0BFC" w:rsidRPr="00DA5E33" w:rsidTr="005A2024">
        <w:trPr>
          <w:trHeight w:val="945"/>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72. Establecer una comunicación efectiva con el paciente y su familia para la identificación de los problemas, detección de los recursos y puesta en marcha de los planes de actuación en beneficio del paciente.</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8,4</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2,3</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73. Ayudar a la familia a tomar decisiones cuando el paciente es menor de edad o se encuentra incapacitado (demencias, pacientes en coma, problemas mentales incapacitantes…).</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8,5</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2,3</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74. Reconocer retos comunicacionales específicos con familiares (la confidencialidad, el secretismo, el acompañante enfermo… </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8,4</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0,0</w:t>
            </w:r>
          </w:p>
        </w:tc>
      </w:tr>
      <w:tr w:rsidR="008F0BFC" w:rsidRPr="00DA5E33" w:rsidTr="005A2024">
        <w:trPr>
          <w:trHeight w:val="315"/>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75. Mostrar disposición para incorporar a la familia y trabajar con ella en beneficio del paciente.</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8,3</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1,5</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4,6</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76. Mostrar disposición a facilitar la comunicación entre los miembros de la familia del paciente empleando conductas adecuadas para ello.</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7,6</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8,5</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2,0</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13,6</w:t>
            </w:r>
          </w:p>
        </w:tc>
      </w:tr>
      <w:tr w:rsidR="008F0BFC" w:rsidRPr="00DA5E33" w:rsidTr="005A2024">
        <w:trPr>
          <w:trHeight w:val="630"/>
        </w:trPr>
        <w:tc>
          <w:tcPr>
            <w:tcW w:w="7513" w:type="dxa"/>
            <w:tcBorders>
              <w:bottom w:val="single" w:sz="4" w:space="0" w:color="000000"/>
            </w:tcBorders>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77. Mostrar sensibilidad con los miedos y preocupaciones de los familiares empleando  conductas adecuadas para ello.</w:t>
            </w:r>
          </w:p>
        </w:tc>
        <w:tc>
          <w:tcPr>
            <w:tcW w:w="567"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8,3</w:t>
            </w:r>
          </w:p>
        </w:tc>
        <w:tc>
          <w:tcPr>
            <w:tcW w:w="567"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992"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2,3</w:t>
            </w:r>
          </w:p>
        </w:tc>
      </w:tr>
    </w:tbl>
    <w:p w:rsidR="008F0BFC" w:rsidRDefault="008F0BFC" w:rsidP="008F0BFC">
      <w:r>
        <w:br w:type="page"/>
      </w: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567"/>
        <w:gridCol w:w="567"/>
        <w:gridCol w:w="567"/>
        <w:gridCol w:w="992"/>
      </w:tblGrid>
      <w:tr w:rsidR="008F0BFC" w:rsidRPr="00DA5E33" w:rsidTr="005A2024">
        <w:trPr>
          <w:trHeight w:val="1530"/>
        </w:trPr>
        <w:tc>
          <w:tcPr>
            <w:tcW w:w="7513" w:type="dxa"/>
            <w:shd w:val="clear" w:color="auto" w:fill="DDD9C3"/>
            <w:hideMark/>
          </w:tcPr>
          <w:p w:rsidR="008F0BFC" w:rsidRPr="00DA5E33" w:rsidRDefault="008F0BFC" w:rsidP="00A25F72">
            <w:pPr>
              <w:spacing w:before="100" w:beforeAutospacing="1" w:after="100" w:afterAutospacing="1"/>
              <w:outlineLvl w:val="0"/>
              <w:rPr>
                <w:rFonts w:ascii="Arial Narrow" w:hAnsi="Arial Narrow" w:cs="Calibri"/>
              </w:rPr>
            </w:pPr>
            <w:r w:rsidRPr="00DA5E33">
              <w:rPr>
                <w:rFonts w:ascii="Arial Narrow" w:hAnsi="Arial Narrow" w:cs="Calibri"/>
                <w:b/>
                <w:bCs/>
              </w:rPr>
              <w:t>C) COMUNICACIÓN INTRAPERSONAL (AUTOPERCEPCIÓN)</w:t>
            </w:r>
            <w:r w:rsidRPr="00DA5E33">
              <w:rPr>
                <w:rFonts w:ascii="Arial Narrow" w:hAnsi="Arial Narrow" w:cs="Calibri"/>
              </w:rPr>
              <w:br/>
            </w:r>
            <w:r w:rsidRPr="00DA5E33">
              <w:rPr>
                <w:rFonts w:ascii="Arial Narrow" w:hAnsi="Arial Narrow" w:cs="Calibri"/>
                <w:b/>
                <w:bCs/>
              </w:rPr>
              <w:t>C.1. El médico como persona</w:t>
            </w:r>
            <w:r w:rsidRPr="00DA5E33">
              <w:rPr>
                <w:rFonts w:ascii="Arial Narrow" w:hAnsi="Arial Narrow" w:cs="Calibri"/>
              </w:rPr>
              <w:t xml:space="preserve"> (auto-conocimiento, auto-reflexión, auto-crítica y auto-cuidados) (El estudiante habitualmente reflexiona sobre su comportamiento y la forma en la que  comunica, desarrollando y mejorando su auto-conocimiento, auto-reflexión, auto-crítica, auto-cuidados)  </w:t>
            </w:r>
            <w:r w:rsidRPr="00DA5E33">
              <w:rPr>
                <w:rFonts w:ascii="Arial Narrow" w:hAnsi="Arial Narrow" w:cs="Calibri"/>
              </w:rPr>
              <w:br/>
            </w:r>
            <w:r w:rsidRPr="00DA5E33">
              <w:rPr>
                <w:rFonts w:ascii="Arial Narrow" w:hAnsi="Arial Narrow" w:cs="Calibri"/>
                <w:b/>
                <w:bCs/>
              </w:rPr>
              <w:t>El estudiante será capaz de…</w:t>
            </w:r>
          </w:p>
        </w:tc>
        <w:tc>
          <w:tcPr>
            <w:tcW w:w="567"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X</w:t>
            </w:r>
          </w:p>
        </w:tc>
        <w:tc>
          <w:tcPr>
            <w:tcW w:w="567" w:type="dxa"/>
            <w:shd w:val="clear" w:color="auto" w:fill="DDD9C3"/>
            <w:noWrap/>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Me</w:t>
            </w:r>
          </w:p>
        </w:tc>
        <w:tc>
          <w:tcPr>
            <w:tcW w:w="567"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RI</w:t>
            </w:r>
          </w:p>
        </w:tc>
        <w:tc>
          <w:tcPr>
            <w:tcW w:w="992"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 fuera Me</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78. Describir los factores que influyen en la relación entre el profesional y el paciente (estereotipos, prejuicios socioculturales, experiencias, intereses…).</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7,9</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8,5</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2,0</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15,9</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79. Reflexionar críticamente su propio estilo comunicativo y conductual  considerando posibles alternativas.</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8,3</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4,6</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80. Reconocer las barreras que dificultan el </w:t>
            </w:r>
            <w:proofErr w:type="spellStart"/>
            <w:r w:rsidRPr="00DA5E33">
              <w:rPr>
                <w:rFonts w:ascii="Arial Narrow" w:hAnsi="Arial Narrow" w:cs="Calibri"/>
              </w:rPr>
              <w:t>autoconomiento</w:t>
            </w:r>
            <w:proofErr w:type="spellEnd"/>
            <w:r w:rsidRPr="00DA5E33">
              <w:rPr>
                <w:rFonts w:ascii="Arial Narrow" w:hAnsi="Arial Narrow" w:cs="Calibri"/>
              </w:rPr>
              <w:t xml:space="preserve">, y utilizar técnicas y estrategias para su promoción tales como práctica reflexiva, perspectiva personal … </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8,3</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6,8</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81. Identificar las señales de sobrecarga de trabajo y estrés (insomnio, ansiedad, alteraciones del sueño…).</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8,3</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4,6</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82. Distinguir las principales fuentes de errores médicos (deficiente información o evaluación de las necesidades del paciente, inadecuada comunicación…).</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8,1</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1,5</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4,6</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83. Reconocer los errores técnicos, sesgos cognitivos y reacciones emocionales que dificultan el desarrollo de relaciones terapéuticas.</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8,2</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4,6</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84. Utilizar estrategias para reducir el estrés y la sobrecarga (de relajación, grupos de reflexión, grupos </w:t>
            </w:r>
            <w:proofErr w:type="spellStart"/>
            <w:r w:rsidRPr="00DA5E33">
              <w:rPr>
                <w:rFonts w:ascii="Arial Narrow" w:hAnsi="Arial Narrow" w:cs="Calibri"/>
              </w:rPr>
              <w:t>Balint</w:t>
            </w:r>
            <w:proofErr w:type="spellEnd"/>
            <w:r w:rsidRPr="00DA5E33">
              <w:rPr>
                <w:rFonts w:ascii="Arial Narrow" w:hAnsi="Arial Narrow" w:cs="Calibri"/>
              </w:rPr>
              <w:t>, supervisión y apoyo…).</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7,8</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2,0</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18,2</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85. Controlar las propias reacciones emocionales y trabajar de forma eficiente, aún en situaciones difíciles (alto grado de sufrimiento del paciente, paciente demandante…).</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11,4</w:t>
            </w:r>
          </w:p>
        </w:tc>
      </w:tr>
      <w:tr w:rsidR="008F0BFC" w:rsidRPr="00DA5E33" w:rsidTr="005A2024">
        <w:trPr>
          <w:trHeight w:val="945"/>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86. Desarrollar los hábitos mentales necesarios para el reconocimiento de sesgos propios, mediante el uso de técnicas específicas (preguntas reflexivas, observación con perspectiva, presencia plena (</w:t>
            </w:r>
            <w:proofErr w:type="spellStart"/>
            <w:r w:rsidRPr="00DA5E33">
              <w:rPr>
                <w:rFonts w:ascii="Arial Narrow" w:hAnsi="Arial Narrow" w:cs="Calibri"/>
                <w:i/>
                <w:iCs/>
              </w:rPr>
              <w:t>mindfulness</w:t>
            </w:r>
            <w:proofErr w:type="spellEnd"/>
            <w:r w:rsidRPr="00DA5E33">
              <w:rPr>
                <w:rFonts w:ascii="Arial Narrow" w:hAnsi="Arial Narrow" w:cs="Calibri"/>
              </w:rPr>
              <w:t xml:space="preserve">), suspensión del juicio, actitud no prejuiciosa…). </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2,0</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6,8</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87. Reconocer errores propios (y ajenos), asumirlos como parte constitutiva del trabajo y buscar soluciones a los mismos (asistencia de superiores…). </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8,5</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0,0</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88. Reconocer sus propias emociones  (inseguridad, simpatía/antipatía, atracción…) en relación a los otros (pacientes, colegas).</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8,1</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6,8</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89. Valorar las fortalezas y debilidades personales determinantes de su autopercepción en los contextos docentes adecuados (tutorías, </w:t>
            </w:r>
            <w:proofErr w:type="spellStart"/>
            <w:r w:rsidRPr="00DA5E33">
              <w:rPr>
                <w:rFonts w:ascii="Arial Narrow" w:hAnsi="Arial Narrow" w:cs="Calibri"/>
              </w:rPr>
              <w:t>mentorías</w:t>
            </w:r>
            <w:proofErr w:type="spellEnd"/>
            <w:r w:rsidRPr="00DA5E33">
              <w:rPr>
                <w:rFonts w:ascii="Arial Narrow" w:hAnsi="Arial Narrow" w:cs="Calibri"/>
              </w:rPr>
              <w:t>, grupos de reflexión…).</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8,2</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8,5</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6,8</w:t>
            </w:r>
          </w:p>
        </w:tc>
      </w:tr>
      <w:tr w:rsidR="008F0BFC" w:rsidRPr="00DA5E33" w:rsidTr="005A2024">
        <w:trPr>
          <w:trHeight w:val="315"/>
        </w:trPr>
        <w:tc>
          <w:tcPr>
            <w:tcW w:w="7513" w:type="dxa"/>
            <w:noWrap/>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90. Aceptar y abordar la incertidumbre propia de manera adecuada al </w:t>
            </w:r>
            <w:proofErr w:type="spellStart"/>
            <w:r w:rsidRPr="00DA5E33">
              <w:rPr>
                <w:rFonts w:ascii="Arial Narrow" w:hAnsi="Arial Narrow" w:cs="Calibri"/>
              </w:rPr>
              <w:t>estadío</w:t>
            </w:r>
            <w:proofErr w:type="spellEnd"/>
            <w:r w:rsidRPr="00DA5E33">
              <w:rPr>
                <w:rFonts w:ascii="Arial Narrow" w:hAnsi="Arial Narrow" w:cs="Calibri"/>
              </w:rPr>
              <w:t xml:space="preserve"> educativo</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7,7</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2,0</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13,6</w:t>
            </w:r>
          </w:p>
        </w:tc>
      </w:tr>
    </w:tbl>
    <w:p w:rsidR="008F0BFC" w:rsidRDefault="008F0BFC" w:rsidP="008F0BFC"/>
    <w:p w:rsidR="008F0BFC" w:rsidRDefault="008F0BFC" w:rsidP="008F0BFC"/>
    <w:p w:rsidR="008F0BFC" w:rsidRDefault="008F0BFC" w:rsidP="008F0BFC"/>
    <w:p w:rsidR="008F0BFC" w:rsidRDefault="008F0BFC" w:rsidP="008F0BFC"/>
    <w:p w:rsidR="008F0BFC" w:rsidRDefault="008F0BFC" w:rsidP="008F0BFC">
      <w:pPr>
        <w:rPr>
          <w:rFonts w:ascii="Arial Narrow" w:hAnsi="Arial Narrow"/>
          <w:b/>
          <w:color w:val="006600"/>
          <w:sz w:val="32"/>
          <w:szCs w:val="32"/>
        </w:rPr>
      </w:pPr>
    </w:p>
    <w:p w:rsidR="008F0BFC" w:rsidRDefault="008F0BFC" w:rsidP="008F0BFC"/>
    <w:tbl>
      <w:tblPr>
        <w:tblW w:w="1034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567"/>
        <w:gridCol w:w="567"/>
        <w:gridCol w:w="567"/>
        <w:gridCol w:w="1134"/>
      </w:tblGrid>
      <w:tr w:rsidR="008F0BFC" w:rsidRPr="00DA5E33" w:rsidTr="005A2024">
        <w:trPr>
          <w:trHeight w:val="1260"/>
        </w:trPr>
        <w:tc>
          <w:tcPr>
            <w:tcW w:w="7513" w:type="dxa"/>
            <w:shd w:val="clear" w:color="auto" w:fill="DDD9C3"/>
            <w:hideMark/>
          </w:tcPr>
          <w:p w:rsidR="008F0BFC" w:rsidRPr="00DA5E33" w:rsidRDefault="008F0BFC" w:rsidP="00A25F72">
            <w:pPr>
              <w:spacing w:before="100" w:beforeAutospacing="1" w:after="100" w:afterAutospacing="1"/>
              <w:outlineLvl w:val="0"/>
              <w:rPr>
                <w:rFonts w:ascii="Arial Narrow" w:hAnsi="Arial Narrow" w:cs="Calibri"/>
              </w:rPr>
            </w:pPr>
            <w:r w:rsidRPr="00DA5E33">
              <w:rPr>
                <w:rFonts w:ascii="Arial Narrow" w:hAnsi="Arial Narrow" w:cs="Calibri"/>
                <w:b/>
                <w:bCs/>
              </w:rPr>
              <w:t>D) COMUNICACIÓN INTER-INTRA PROFESIONAL</w:t>
            </w:r>
            <w:r w:rsidRPr="00DA5E33">
              <w:rPr>
                <w:rFonts w:ascii="Arial Narrow" w:hAnsi="Arial Narrow" w:cs="Calibri"/>
              </w:rPr>
              <w:br/>
            </w:r>
            <w:r w:rsidRPr="00DA5E33">
              <w:rPr>
                <w:rFonts w:ascii="Arial Narrow" w:hAnsi="Arial Narrow" w:cs="Calibri"/>
                <w:b/>
                <w:bCs/>
              </w:rPr>
              <w:t xml:space="preserve">D.1. El contexto profesional del médico: Comunicación inter e </w:t>
            </w:r>
            <w:proofErr w:type="spellStart"/>
            <w:r w:rsidRPr="00DA5E33">
              <w:rPr>
                <w:rFonts w:ascii="Arial Narrow" w:hAnsi="Arial Narrow" w:cs="Calibri"/>
                <w:b/>
                <w:bCs/>
              </w:rPr>
              <w:t>intra</w:t>
            </w:r>
            <w:proofErr w:type="spellEnd"/>
            <w:r w:rsidRPr="00DA5E33">
              <w:rPr>
                <w:rFonts w:ascii="Arial Narrow" w:hAnsi="Arial Narrow" w:cs="Calibri"/>
                <w:b/>
                <w:bCs/>
              </w:rPr>
              <w:t xml:space="preserve"> profesional </w:t>
            </w:r>
            <w:r w:rsidRPr="00DA5E33">
              <w:rPr>
                <w:rFonts w:ascii="Arial Narrow" w:hAnsi="Arial Narrow" w:cs="Calibri"/>
              </w:rPr>
              <w:t>(El estudiante se comunica eficientemente con los profesionales que forman parte de su equipo o fuera de este)</w:t>
            </w:r>
            <w:r w:rsidRPr="00DA5E33">
              <w:rPr>
                <w:rFonts w:ascii="Arial Narrow" w:hAnsi="Arial Narrow" w:cs="Calibri"/>
              </w:rPr>
              <w:br/>
            </w:r>
            <w:r w:rsidRPr="00DA5E33">
              <w:rPr>
                <w:rFonts w:ascii="Arial Narrow" w:hAnsi="Arial Narrow" w:cs="Calibri"/>
                <w:b/>
                <w:bCs/>
              </w:rPr>
              <w:t>El estudiante será capaz de…</w:t>
            </w:r>
          </w:p>
        </w:tc>
        <w:tc>
          <w:tcPr>
            <w:tcW w:w="567"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X</w:t>
            </w:r>
          </w:p>
        </w:tc>
        <w:tc>
          <w:tcPr>
            <w:tcW w:w="567" w:type="dxa"/>
            <w:shd w:val="clear" w:color="auto" w:fill="DDD9C3"/>
            <w:noWrap/>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Me</w:t>
            </w:r>
          </w:p>
        </w:tc>
        <w:tc>
          <w:tcPr>
            <w:tcW w:w="567"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RI</w:t>
            </w:r>
          </w:p>
        </w:tc>
        <w:tc>
          <w:tcPr>
            <w:tcW w:w="1134"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 fuera Me</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91. Identificar los principios básicos de la dinámica de grupo así como de sus factores favorecedores e inhibidores.</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7,7</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2,0</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15,9</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92. Identificar los diferentes miembros de los distintos equipos de salud interprofesionales y sus respectivas responsabilidades. </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9,1</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93. Clarificar su propio rol y responsabilidades como estudiante en los equipos profesionales con los que interactúe. </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8,1</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11,4</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94. Identificar cuando derivar a profesionales/ instituciones/agencias que pueden ayudar a solventar los problemas en función de cada situación.</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8,2</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1,5</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6,8</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95. Describir los principios y estrategias para negociar y resolver conflictos con otros profesionales y usarlos adecuadamente. </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7,5</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2,0</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22,7</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96. Discutir decisiones de forma apropiada con colegas, pacientes y sus familiares, y si es necesario, reevaluar sus propias decisiones. </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8,2</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9,1</w:t>
            </w:r>
          </w:p>
        </w:tc>
      </w:tr>
      <w:tr w:rsidR="008F0BFC" w:rsidRPr="00DA5E33" w:rsidTr="005A2024">
        <w:trPr>
          <w:trHeight w:val="315"/>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97.</w:t>
            </w:r>
            <w:r w:rsidRPr="00DA5E33">
              <w:rPr>
                <w:rFonts w:ascii="Arial Narrow" w:hAnsi="Arial Narrow"/>
                <w:sz w:val="14"/>
                <w:szCs w:val="14"/>
              </w:rPr>
              <w:t xml:space="preserve">  </w:t>
            </w:r>
            <w:r w:rsidRPr="00DA5E33">
              <w:rPr>
                <w:rFonts w:ascii="Arial Narrow" w:hAnsi="Arial Narrow" w:cs="Calibri"/>
              </w:rPr>
              <w:t>Asegurar que  toda la información clínica relevante del paciente está disponible.</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7,4</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8,5</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2,0</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18,2</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98.</w:t>
            </w:r>
            <w:r w:rsidRPr="00DA5E33">
              <w:rPr>
                <w:rFonts w:ascii="Arial Narrow" w:hAnsi="Arial Narrow"/>
                <w:sz w:val="14"/>
                <w:szCs w:val="14"/>
              </w:rPr>
              <w:t xml:space="preserve">  </w:t>
            </w:r>
            <w:r w:rsidRPr="00DA5E33">
              <w:rPr>
                <w:rFonts w:ascii="Arial Narrow" w:hAnsi="Arial Narrow" w:cs="Calibri"/>
              </w:rPr>
              <w:t>Facilitar el flujo de información de las opiniones en el grupo y promover que los miembros del equipo den opiniones divergentes.</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7,9</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2,0</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13,6</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99.</w:t>
            </w:r>
            <w:r w:rsidRPr="00DA5E33">
              <w:rPr>
                <w:rFonts w:ascii="Arial Narrow" w:hAnsi="Arial Narrow"/>
                <w:sz w:val="14"/>
                <w:szCs w:val="14"/>
              </w:rPr>
              <w:t> </w:t>
            </w:r>
            <w:r w:rsidRPr="00DA5E33">
              <w:rPr>
                <w:rFonts w:ascii="Arial Narrow" w:hAnsi="Arial Narrow" w:cs="Calibri"/>
              </w:rPr>
              <w:t xml:space="preserve">Dar </w:t>
            </w:r>
            <w:proofErr w:type="spellStart"/>
            <w:r w:rsidRPr="00DA5E33">
              <w:rPr>
                <w:rFonts w:ascii="Arial Narrow" w:hAnsi="Arial Narrow" w:cs="Calibri"/>
              </w:rPr>
              <w:t>feedback</w:t>
            </w:r>
            <w:proofErr w:type="spellEnd"/>
            <w:r w:rsidRPr="00DA5E33">
              <w:rPr>
                <w:rFonts w:ascii="Arial Narrow" w:hAnsi="Arial Narrow" w:cs="Calibri"/>
              </w:rPr>
              <w:t xml:space="preserve"> a los miembros del equipo de forma apropiada (comentarios en primera persona, resaltar primero lo positivo, no juzgar).</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2,0</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9,1</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100.</w:t>
            </w:r>
            <w:r w:rsidRPr="00DA5E33">
              <w:rPr>
                <w:rFonts w:ascii="Arial Narrow" w:hAnsi="Arial Narrow"/>
                <w:sz w:val="14"/>
                <w:szCs w:val="14"/>
              </w:rPr>
              <w:t> </w:t>
            </w:r>
            <w:r w:rsidRPr="00DA5E33">
              <w:rPr>
                <w:rFonts w:ascii="Arial Narrow" w:hAnsi="Arial Narrow" w:cs="Calibri"/>
              </w:rPr>
              <w:t>Contribuir de manera efectiva a la continuidad de la atención en la referencia/derivación y retorno de los pacientes entre los diferentes niveles asistenciales (primaria, especializada).</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7,8</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8,5</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2,0</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13,6</w:t>
            </w:r>
          </w:p>
        </w:tc>
      </w:tr>
      <w:tr w:rsidR="008F0BFC" w:rsidRPr="00DA5E33" w:rsidTr="005A2024">
        <w:trPr>
          <w:trHeight w:val="315"/>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101.</w:t>
            </w:r>
            <w:r w:rsidRPr="00DA5E33">
              <w:rPr>
                <w:rFonts w:ascii="Arial Narrow" w:hAnsi="Arial Narrow"/>
                <w:sz w:val="14"/>
                <w:szCs w:val="14"/>
              </w:rPr>
              <w:t> </w:t>
            </w:r>
            <w:r w:rsidRPr="00DA5E33">
              <w:rPr>
                <w:rFonts w:ascii="Arial Narrow" w:hAnsi="Arial Narrow" w:cs="Calibri"/>
              </w:rPr>
              <w:t>Hacer presentaciones clínicas o científicas en público de forma efectiva.</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7,6</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2,0</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15,9</w:t>
            </w:r>
          </w:p>
        </w:tc>
      </w:tr>
      <w:tr w:rsidR="008F0BFC" w:rsidRPr="00DA5E33" w:rsidTr="005A2024">
        <w:trPr>
          <w:trHeight w:val="315"/>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102.</w:t>
            </w:r>
            <w:r w:rsidRPr="00DA5E33">
              <w:rPr>
                <w:rFonts w:ascii="Arial Narrow" w:hAnsi="Arial Narrow"/>
                <w:sz w:val="14"/>
                <w:szCs w:val="14"/>
              </w:rPr>
              <w:t> </w:t>
            </w:r>
            <w:r w:rsidRPr="00DA5E33">
              <w:rPr>
                <w:rFonts w:ascii="Arial Narrow" w:hAnsi="Arial Narrow" w:cs="Calibri"/>
              </w:rPr>
              <w:t>Dar instrucciones de forma clara y precisa.</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8,3</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9,1</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103.</w:t>
            </w:r>
            <w:r w:rsidRPr="00DA5E33">
              <w:rPr>
                <w:rFonts w:ascii="Arial Narrow" w:hAnsi="Arial Narrow"/>
                <w:sz w:val="14"/>
                <w:szCs w:val="14"/>
              </w:rPr>
              <w:t> </w:t>
            </w:r>
            <w:r w:rsidRPr="00DA5E33">
              <w:rPr>
                <w:rFonts w:ascii="Arial Narrow" w:hAnsi="Arial Narrow" w:cs="Calibri"/>
              </w:rPr>
              <w:t>Contribuir a crear una atmósfera de trabajo positiva (apoyar e integrar a los diferentes miembros del equipo, mencionar el lado positivo de los aspectos desagradables, valorar el éxito del equipo…).</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8,4</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6,8</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104.</w:t>
            </w:r>
            <w:r w:rsidRPr="00DA5E33">
              <w:rPr>
                <w:rFonts w:ascii="Arial Narrow" w:hAnsi="Arial Narrow"/>
                <w:sz w:val="14"/>
                <w:szCs w:val="14"/>
              </w:rPr>
              <w:t> </w:t>
            </w:r>
            <w:r w:rsidRPr="00DA5E33">
              <w:rPr>
                <w:rFonts w:ascii="Arial Narrow" w:hAnsi="Arial Narrow" w:cs="Calibri"/>
              </w:rPr>
              <w:t>Respetar la individualidad, la percepción subjetiva de los miembros del equipo y la maestría (pericia) de los diferentes profesionales de salud.</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8,4</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6,8</w:t>
            </w:r>
          </w:p>
        </w:tc>
      </w:tr>
      <w:tr w:rsidR="008F0BFC" w:rsidRPr="00DA5E33" w:rsidTr="005A2024">
        <w:trPr>
          <w:trHeight w:val="315"/>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105.</w:t>
            </w:r>
            <w:r w:rsidRPr="00DA5E33">
              <w:rPr>
                <w:rFonts w:ascii="Arial Narrow" w:hAnsi="Arial Narrow"/>
                <w:sz w:val="14"/>
                <w:szCs w:val="14"/>
              </w:rPr>
              <w:t> </w:t>
            </w:r>
            <w:r w:rsidRPr="00DA5E33">
              <w:rPr>
                <w:rFonts w:ascii="Arial Narrow" w:hAnsi="Arial Narrow" w:cs="Calibri"/>
              </w:rPr>
              <w:t>Mantener la confidencialidad sobre las decisiones tomadas en el equipo.</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8,5</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6,8</w:t>
            </w:r>
          </w:p>
        </w:tc>
      </w:tr>
      <w:tr w:rsidR="008F0BFC" w:rsidRPr="00DA5E33" w:rsidTr="005A2024">
        <w:trPr>
          <w:trHeight w:val="315"/>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106.</w:t>
            </w:r>
            <w:r w:rsidRPr="00DA5E33">
              <w:rPr>
                <w:rFonts w:ascii="Arial Narrow" w:hAnsi="Arial Narrow"/>
                <w:sz w:val="14"/>
                <w:szCs w:val="14"/>
              </w:rPr>
              <w:t xml:space="preserve">  </w:t>
            </w:r>
            <w:r w:rsidRPr="00DA5E33">
              <w:rPr>
                <w:rFonts w:ascii="Arial Narrow" w:hAnsi="Arial Narrow" w:cs="Calibri"/>
              </w:rPr>
              <w:t>Ser asertivo con el resto de miembros del equipo.</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7,8</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2,0</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13,6</w:t>
            </w:r>
          </w:p>
        </w:tc>
      </w:tr>
      <w:tr w:rsidR="008F0BFC" w:rsidRPr="00DA5E33" w:rsidTr="005A2024">
        <w:trPr>
          <w:trHeight w:val="315"/>
        </w:trPr>
        <w:tc>
          <w:tcPr>
            <w:tcW w:w="7513"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107.</w:t>
            </w:r>
            <w:r w:rsidRPr="00DA5E33">
              <w:rPr>
                <w:rFonts w:ascii="Arial Narrow" w:hAnsi="Arial Narrow"/>
                <w:sz w:val="14"/>
                <w:szCs w:val="14"/>
              </w:rPr>
              <w:t> </w:t>
            </w:r>
            <w:r w:rsidRPr="00DA5E33">
              <w:rPr>
                <w:rFonts w:ascii="Arial Narrow" w:hAnsi="Arial Narrow" w:cs="Calibri"/>
              </w:rPr>
              <w:t>Mostar actitud negociadora para alcanzar acuerdos empleando conductas adecuadas para ello.</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8,2</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2,0</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4,6</w:t>
            </w:r>
          </w:p>
        </w:tc>
      </w:tr>
      <w:tr w:rsidR="008F0BFC" w:rsidRPr="00DA5E33" w:rsidTr="005A2024">
        <w:trPr>
          <w:trHeight w:val="315"/>
        </w:trPr>
        <w:tc>
          <w:tcPr>
            <w:tcW w:w="7513" w:type="dxa"/>
            <w:tcBorders>
              <w:bottom w:val="single" w:sz="4" w:space="0" w:color="000000"/>
            </w:tcBorders>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108.</w:t>
            </w:r>
            <w:r w:rsidRPr="00DA5E33">
              <w:rPr>
                <w:rFonts w:ascii="Arial Narrow" w:hAnsi="Arial Narrow"/>
                <w:sz w:val="14"/>
                <w:szCs w:val="14"/>
              </w:rPr>
              <w:t> </w:t>
            </w:r>
            <w:r w:rsidRPr="00DA5E33">
              <w:rPr>
                <w:rFonts w:ascii="Arial Narrow" w:hAnsi="Arial Narrow" w:cs="Calibri"/>
              </w:rPr>
              <w:t>Mostar flexibilidad para cambiar su rol dentro de un equipo de trabajo.</w:t>
            </w:r>
          </w:p>
        </w:tc>
        <w:tc>
          <w:tcPr>
            <w:tcW w:w="567"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8,3</w:t>
            </w:r>
          </w:p>
        </w:tc>
        <w:tc>
          <w:tcPr>
            <w:tcW w:w="567"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1134"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4,6</w:t>
            </w:r>
          </w:p>
        </w:tc>
      </w:tr>
    </w:tbl>
    <w:p w:rsidR="008F0BFC" w:rsidRPr="00A00BA4" w:rsidRDefault="008F0BFC" w:rsidP="008F0BFC">
      <w:pPr>
        <w:rPr>
          <w:rFonts w:ascii="Arial Narrow" w:hAnsi="Arial Narrow"/>
          <w:b/>
          <w:color w:val="006600"/>
          <w:sz w:val="32"/>
          <w:szCs w:val="32"/>
        </w:rPr>
      </w:pPr>
      <w:r>
        <w:br w:type="page"/>
      </w:r>
    </w:p>
    <w:tbl>
      <w:tblPr>
        <w:tblW w:w="1034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71"/>
        <w:gridCol w:w="567"/>
        <w:gridCol w:w="709"/>
        <w:gridCol w:w="567"/>
        <w:gridCol w:w="1134"/>
      </w:tblGrid>
      <w:tr w:rsidR="008F0BFC" w:rsidRPr="00DA5E33" w:rsidTr="005A2024">
        <w:trPr>
          <w:trHeight w:val="635"/>
        </w:trPr>
        <w:tc>
          <w:tcPr>
            <w:tcW w:w="10348" w:type="dxa"/>
            <w:gridSpan w:val="5"/>
            <w:tcBorders>
              <w:bottom w:val="single" w:sz="4" w:space="0" w:color="000000"/>
            </w:tcBorders>
            <w:shd w:val="clear" w:color="auto" w:fill="DDD9C3"/>
            <w:hideMark/>
          </w:tcPr>
          <w:p w:rsidR="008F0BFC" w:rsidRPr="00DA5E33" w:rsidRDefault="008F0BFC" w:rsidP="00A25F72">
            <w:pPr>
              <w:spacing w:before="100" w:beforeAutospacing="1" w:after="100" w:afterAutospacing="1"/>
              <w:outlineLvl w:val="0"/>
              <w:rPr>
                <w:rFonts w:ascii="Arial Narrow" w:eastAsia="Calibri" w:hAnsi="Arial Narrow" w:cs="Calibri"/>
                <w:b/>
                <w:bCs/>
                <w:lang w:eastAsia="en-US"/>
              </w:rPr>
            </w:pPr>
            <w:r w:rsidRPr="00DA5E33">
              <w:rPr>
                <w:rFonts w:ascii="Calibri" w:eastAsia="Calibri" w:hAnsi="Calibri"/>
                <w:sz w:val="22"/>
                <w:szCs w:val="22"/>
                <w:lang w:eastAsia="en-US"/>
              </w:rPr>
              <w:br w:type="page"/>
            </w:r>
            <w:r w:rsidRPr="00DA5E33">
              <w:rPr>
                <w:rFonts w:ascii="Arial Narrow" w:hAnsi="Arial Narrow" w:cs="Calibri"/>
                <w:b/>
                <w:bCs/>
              </w:rPr>
              <w:t>E) COMUNICACIÓN POR DIFERENTES VIAS</w:t>
            </w:r>
            <w:r w:rsidRPr="00DA5E33">
              <w:rPr>
                <w:rFonts w:ascii="Arial Narrow" w:hAnsi="Arial Narrow" w:cs="Calibri"/>
                <w:b/>
                <w:bCs/>
              </w:rPr>
              <w:br/>
              <w:t>E.1. Canales comunicacionales (El estudiante utiliza con eficiencia diferentes formas de comunicarse)</w:t>
            </w:r>
          </w:p>
        </w:tc>
      </w:tr>
      <w:tr w:rsidR="008F0BFC" w:rsidRPr="00DA5E33" w:rsidTr="005A2024">
        <w:trPr>
          <w:trHeight w:val="564"/>
        </w:trPr>
        <w:tc>
          <w:tcPr>
            <w:tcW w:w="7371" w:type="dxa"/>
            <w:shd w:val="clear" w:color="auto" w:fill="DDD9C3"/>
            <w:hideMark/>
          </w:tcPr>
          <w:p w:rsidR="008F0BFC" w:rsidRPr="00DA5E33" w:rsidRDefault="008F0BFC" w:rsidP="00A25F72">
            <w:pPr>
              <w:spacing w:before="100" w:beforeAutospacing="1" w:after="100" w:afterAutospacing="1"/>
              <w:outlineLvl w:val="0"/>
              <w:rPr>
                <w:rFonts w:ascii="Arial Narrow" w:hAnsi="Arial Narrow" w:cs="Calibri"/>
              </w:rPr>
            </w:pPr>
            <w:r w:rsidRPr="00DA5E33">
              <w:rPr>
                <w:rFonts w:ascii="Arial Narrow" w:hAnsi="Arial Narrow" w:cs="Calibri"/>
                <w:b/>
                <w:bCs/>
              </w:rPr>
              <w:t>E.1.1. Comunicación directa (cara a cara)</w:t>
            </w:r>
            <w:r w:rsidRPr="00DA5E33">
              <w:rPr>
                <w:rFonts w:ascii="Arial Narrow" w:hAnsi="Arial Narrow" w:cs="Calibri"/>
              </w:rPr>
              <w:br/>
            </w:r>
            <w:r w:rsidRPr="00DA5E33">
              <w:rPr>
                <w:rFonts w:ascii="Arial Narrow" w:hAnsi="Arial Narrow" w:cs="Calibri"/>
                <w:b/>
                <w:bCs/>
              </w:rPr>
              <w:t>El estudiante será capaz de…</w:t>
            </w:r>
          </w:p>
        </w:tc>
        <w:tc>
          <w:tcPr>
            <w:tcW w:w="567"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X</w:t>
            </w:r>
          </w:p>
        </w:tc>
        <w:tc>
          <w:tcPr>
            <w:tcW w:w="709" w:type="dxa"/>
            <w:shd w:val="clear" w:color="auto" w:fill="DDD9C3"/>
            <w:noWrap/>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Me</w:t>
            </w:r>
          </w:p>
        </w:tc>
        <w:tc>
          <w:tcPr>
            <w:tcW w:w="567"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RI</w:t>
            </w:r>
          </w:p>
        </w:tc>
        <w:tc>
          <w:tcPr>
            <w:tcW w:w="1134"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 fuera Me</w:t>
            </w:r>
          </w:p>
        </w:tc>
      </w:tr>
      <w:tr w:rsidR="008F0BFC" w:rsidRPr="00DA5E33" w:rsidTr="005A2024">
        <w:trPr>
          <w:trHeight w:val="630"/>
        </w:trPr>
        <w:tc>
          <w:tcPr>
            <w:tcW w:w="7371"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109. Identificar los factores ambientales (físicos y sociales) que pueden obstaculizar la comunicación interpersonal en los diferentes contextos. </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8,3</w:t>
            </w:r>
          </w:p>
        </w:tc>
        <w:tc>
          <w:tcPr>
            <w:tcW w:w="709"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4,5</w:t>
            </w:r>
          </w:p>
        </w:tc>
      </w:tr>
      <w:tr w:rsidR="008F0BFC" w:rsidRPr="00DA5E33" w:rsidTr="005A2024">
        <w:trPr>
          <w:trHeight w:val="315"/>
        </w:trPr>
        <w:tc>
          <w:tcPr>
            <w:tcW w:w="7371"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110. Identificar si existe discrepancia entre los componentes verbales y no verbales de la comunicación.  </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8,2</w:t>
            </w:r>
          </w:p>
        </w:tc>
        <w:tc>
          <w:tcPr>
            <w:tcW w:w="709"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1,5</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9,1</w:t>
            </w:r>
          </w:p>
        </w:tc>
      </w:tr>
      <w:tr w:rsidR="008F0BFC" w:rsidRPr="00DA5E33" w:rsidTr="005A2024">
        <w:trPr>
          <w:trHeight w:val="315"/>
        </w:trPr>
        <w:tc>
          <w:tcPr>
            <w:tcW w:w="7371" w:type="dxa"/>
            <w:tcBorders>
              <w:bottom w:val="single" w:sz="4" w:space="0" w:color="000000"/>
            </w:tcBorders>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111. Emplear adecuadamente la </w:t>
            </w:r>
            <w:proofErr w:type="spellStart"/>
            <w:r w:rsidRPr="00DA5E33">
              <w:rPr>
                <w:rFonts w:ascii="Arial Narrow" w:hAnsi="Arial Narrow" w:cs="Calibri"/>
              </w:rPr>
              <w:t>proxémica</w:t>
            </w:r>
            <w:proofErr w:type="spellEnd"/>
            <w:r w:rsidRPr="00DA5E33">
              <w:rPr>
                <w:rFonts w:ascii="Arial Narrow" w:hAnsi="Arial Narrow" w:cs="Calibri"/>
              </w:rPr>
              <w:t xml:space="preserve"> (distancia física de comunicación).</w:t>
            </w:r>
          </w:p>
        </w:tc>
        <w:tc>
          <w:tcPr>
            <w:tcW w:w="567"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8,2</w:t>
            </w:r>
          </w:p>
        </w:tc>
        <w:tc>
          <w:tcPr>
            <w:tcW w:w="709"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1134"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6,8</w:t>
            </w:r>
          </w:p>
        </w:tc>
      </w:tr>
      <w:tr w:rsidR="008F0BFC" w:rsidRPr="00DA5E33" w:rsidTr="005A2024">
        <w:trPr>
          <w:trHeight w:val="556"/>
        </w:trPr>
        <w:tc>
          <w:tcPr>
            <w:tcW w:w="7371" w:type="dxa"/>
            <w:shd w:val="clear" w:color="auto" w:fill="DDD9C3"/>
            <w:hideMark/>
          </w:tcPr>
          <w:p w:rsidR="008F0BFC" w:rsidRPr="00DA5E33" w:rsidRDefault="008F0BFC" w:rsidP="00A25F72">
            <w:pPr>
              <w:spacing w:before="100" w:beforeAutospacing="1" w:after="100" w:afterAutospacing="1"/>
              <w:outlineLvl w:val="0"/>
              <w:rPr>
                <w:rFonts w:ascii="Arial Narrow" w:hAnsi="Arial Narrow" w:cs="Calibri"/>
                <w:b/>
                <w:bCs/>
              </w:rPr>
            </w:pPr>
            <w:r w:rsidRPr="00DA5E33">
              <w:rPr>
                <w:rFonts w:ascii="Arial Narrow" w:hAnsi="Arial Narrow" w:cs="Calibri"/>
                <w:b/>
                <w:bCs/>
              </w:rPr>
              <w:t>E.1.2. Comunicación escrita</w:t>
            </w:r>
            <w:r w:rsidRPr="00DA5E33">
              <w:rPr>
                <w:rFonts w:ascii="Arial Narrow" w:hAnsi="Arial Narrow" w:cs="Calibri"/>
                <w:b/>
                <w:bCs/>
              </w:rPr>
              <w:br/>
              <w:t>El estudiante será capaz de…</w:t>
            </w:r>
          </w:p>
        </w:tc>
        <w:tc>
          <w:tcPr>
            <w:tcW w:w="567"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X</w:t>
            </w:r>
          </w:p>
        </w:tc>
        <w:tc>
          <w:tcPr>
            <w:tcW w:w="709" w:type="dxa"/>
            <w:shd w:val="clear" w:color="auto" w:fill="DDD9C3"/>
            <w:noWrap/>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Me</w:t>
            </w:r>
          </w:p>
        </w:tc>
        <w:tc>
          <w:tcPr>
            <w:tcW w:w="567"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RI</w:t>
            </w:r>
          </w:p>
        </w:tc>
        <w:tc>
          <w:tcPr>
            <w:tcW w:w="1134"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 fuera Me</w:t>
            </w:r>
          </w:p>
        </w:tc>
      </w:tr>
      <w:tr w:rsidR="008F0BFC" w:rsidRPr="00DA5E33" w:rsidTr="005A2024">
        <w:trPr>
          <w:trHeight w:val="945"/>
        </w:trPr>
        <w:tc>
          <w:tcPr>
            <w:tcW w:w="7371"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112. Reconocer los formatos y soportes de historia clínica y los documentos habitualmente utilizados para la comunicación escrita con pacientes y entre profesionales (informes de alta, derivación, para solicitud de pruebas,…).</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8,1</w:t>
            </w:r>
          </w:p>
        </w:tc>
        <w:tc>
          <w:tcPr>
            <w:tcW w:w="709"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1,5</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13,6</w:t>
            </w:r>
          </w:p>
        </w:tc>
      </w:tr>
      <w:tr w:rsidR="008F0BFC" w:rsidRPr="00DA5E33" w:rsidTr="005A2024">
        <w:trPr>
          <w:trHeight w:val="630"/>
        </w:trPr>
        <w:tc>
          <w:tcPr>
            <w:tcW w:w="7371"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113. Registrar la valoración inicial de un paciente así como la posterior evolución clínica diaria en un lenguaje escrito conciso y claro.</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8,1</w:t>
            </w:r>
          </w:p>
        </w:tc>
        <w:tc>
          <w:tcPr>
            <w:tcW w:w="709"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13,6</w:t>
            </w:r>
          </w:p>
        </w:tc>
      </w:tr>
      <w:tr w:rsidR="008F0BFC" w:rsidRPr="00DA5E33" w:rsidTr="005A2024">
        <w:trPr>
          <w:trHeight w:val="315"/>
        </w:trPr>
        <w:tc>
          <w:tcPr>
            <w:tcW w:w="7371"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114. Escribir un informe de alta y de derivación, de forma estructurada, comprensible, suficiente y clara.</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8,2</w:t>
            </w:r>
          </w:p>
        </w:tc>
        <w:tc>
          <w:tcPr>
            <w:tcW w:w="709"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11,4</w:t>
            </w:r>
          </w:p>
        </w:tc>
      </w:tr>
      <w:tr w:rsidR="008F0BFC" w:rsidRPr="00DA5E33" w:rsidTr="005A2024">
        <w:trPr>
          <w:trHeight w:val="315"/>
        </w:trPr>
        <w:tc>
          <w:tcPr>
            <w:tcW w:w="7371"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115. Escribir peticiones de pruebas y prescripciones de forma precisa, clara y justificada. </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8,0</w:t>
            </w:r>
          </w:p>
        </w:tc>
        <w:tc>
          <w:tcPr>
            <w:tcW w:w="709"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2,0</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11,4</w:t>
            </w:r>
          </w:p>
        </w:tc>
      </w:tr>
      <w:tr w:rsidR="008F0BFC" w:rsidRPr="00DA5E33" w:rsidTr="005A2024">
        <w:trPr>
          <w:trHeight w:val="315"/>
        </w:trPr>
        <w:tc>
          <w:tcPr>
            <w:tcW w:w="7371"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116. Mantener unos registros claros, apropiados, sobre la información relevante del encuentro clínico.</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8,2</w:t>
            </w:r>
          </w:p>
        </w:tc>
        <w:tc>
          <w:tcPr>
            <w:tcW w:w="709"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9,1</w:t>
            </w:r>
          </w:p>
        </w:tc>
      </w:tr>
      <w:tr w:rsidR="008F0BFC" w:rsidRPr="00DA5E33" w:rsidTr="005A2024">
        <w:trPr>
          <w:trHeight w:val="315"/>
        </w:trPr>
        <w:tc>
          <w:tcPr>
            <w:tcW w:w="7371" w:type="dxa"/>
            <w:tcBorders>
              <w:bottom w:val="single" w:sz="4" w:space="0" w:color="000000"/>
            </w:tcBorders>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117. Escribir documentos legales habituales (certificados de defunción, certificados de salud…).</w:t>
            </w:r>
          </w:p>
        </w:tc>
        <w:tc>
          <w:tcPr>
            <w:tcW w:w="567"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8,3</w:t>
            </w:r>
          </w:p>
        </w:tc>
        <w:tc>
          <w:tcPr>
            <w:tcW w:w="709"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1134"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6,8</w:t>
            </w:r>
          </w:p>
        </w:tc>
      </w:tr>
      <w:tr w:rsidR="008F0BFC" w:rsidRPr="00DA5E33" w:rsidTr="005A2024">
        <w:trPr>
          <w:trHeight w:val="486"/>
        </w:trPr>
        <w:tc>
          <w:tcPr>
            <w:tcW w:w="7371" w:type="dxa"/>
            <w:shd w:val="clear" w:color="auto" w:fill="DDD9C3"/>
            <w:hideMark/>
          </w:tcPr>
          <w:p w:rsidR="008F0BFC" w:rsidRPr="00DA5E33" w:rsidRDefault="008F0BFC" w:rsidP="00A25F72">
            <w:pPr>
              <w:spacing w:before="100" w:beforeAutospacing="1" w:after="100" w:afterAutospacing="1"/>
              <w:outlineLvl w:val="0"/>
              <w:rPr>
                <w:rFonts w:ascii="Arial Narrow" w:hAnsi="Arial Narrow" w:cs="Calibri"/>
                <w:b/>
                <w:bCs/>
              </w:rPr>
            </w:pPr>
            <w:r w:rsidRPr="00DA5E33">
              <w:rPr>
                <w:rFonts w:ascii="Arial Narrow" w:hAnsi="Arial Narrow" w:cs="Calibri"/>
                <w:b/>
                <w:bCs/>
              </w:rPr>
              <w:t>E.1.3. Comunicación informática o computacional</w:t>
            </w:r>
            <w:r w:rsidRPr="00DA5E33">
              <w:rPr>
                <w:rFonts w:ascii="Arial Narrow" w:hAnsi="Arial Narrow" w:cs="Calibri"/>
                <w:b/>
                <w:bCs/>
              </w:rPr>
              <w:br/>
              <w:t>El estudiante será capaz de…</w:t>
            </w:r>
          </w:p>
        </w:tc>
        <w:tc>
          <w:tcPr>
            <w:tcW w:w="567"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X</w:t>
            </w:r>
          </w:p>
        </w:tc>
        <w:tc>
          <w:tcPr>
            <w:tcW w:w="709" w:type="dxa"/>
            <w:shd w:val="clear" w:color="auto" w:fill="DDD9C3"/>
            <w:noWrap/>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Me</w:t>
            </w:r>
          </w:p>
        </w:tc>
        <w:tc>
          <w:tcPr>
            <w:tcW w:w="567"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RI</w:t>
            </w:r>
          </w:p>
        </w:tc>
        <w:tc>
          <w:tcPr>
            <w:tcW w:w="1134"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 fuera Me</w:t>
            </w:r>
          </w:p>
        </w:tc>
      </w:tr>
      <w:tr w:rsidR="008F0BFC" w:rsidRPr="00DA5E33" w:rsidTr="005A2024">
        <w:trPr>
          <w:trHeight w:val="315"/>
        </w:trPr>
        <w:tc>
          <w:tcPr>
            <w:tcW w:w="7371"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118. Reconocer las diferentes tecnologías de la información  más utilizadas en el ámbito sanitario. </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7,7</w:t>
            </w:r>
          </w:p>
        </w:tc>
        <w:tc>
          <w:tcPr>
            <w:tcW w:w="709"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2,0</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15,9</w:t>
            </w:r>
          </w:p>
        </w:tc>
      </w:tr>
      <w:tr w:rsidR="008F0BFC" w:rsidRPr="00DA5E33" w:rsidTr="005A2024">
        <w:trPr>
          <w:trHeight w:val="630"/>
        </w:trPr>
        <w:tc>
          <w:tcPr>
            <w:tcW w:w="7371" w:type="dxa"/>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119. Conocer los registros electrónicos de los pacientes así como con los sistemas de prescripción y derivación.</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8,0</w:t>
            </w:r>
          </w:p>
        </w:tc>
        <w:tc>
          <w:tcPr>
            <w:tcW w:w="709"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2,0</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6,8</w:t>
            </w:r>
          </w:p>
        </w:tc>
      </w:tr>
      <w:tr w:rsidR="008F0BFC" w:rsidRPr="00DA5E33" w:rsidTr="005A2024">
        <w:trPr>
          <w:trHeight w:val="630"/>
        </w:trPr>
        <w:tc>
          <w:tcPr>
            <w:tcW w:w="7371" w:type="dxa"/>
            <w:tcBorders>
              <w:bottom w:val="single" w:sz="4" w:space="0" w:color="000000"/>
            </w:tcBorders>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 xml:space="preserve">120. Manejar las tecnologías de la información (e-mails, WhatsApp, web2.0,…) en aspectos de atención sanitaria garantizando la confidencialidad. </w:t>
            </w:r>
          </w:p>
        </w:tc>
        <w:tc>
          <w:tcPr>
            <w:tcW w:w="567"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7,9</w:t>
            </w:r>
          </w:p>
        </w:tc>
        <w:tc>
          <w:tcPr>
            <w:tcW w:w="709"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8,0</w:t>
            </w:r>
          </w:p>
        </w:tc>
        <w:tc>
          <w:tcPr>
            <w:tcW w:w="567"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2,0</w:t>
            </w:r>
          </w:p>
        </w:tc>
        <w:tc>
          <w:tcPr>
            <w:tcW w:w="1134"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15,9</w:t>
            </w:r>
          </w:p>
        </w:tc>
      </w:tr>
      <w:tr w:rsidR="008F0BFC" w:rsidRPr="00DA5E33" w:rsidTr="005A2024">
        <w:trPr>
          <w:trHeight w:val="569"/>
        </w:trPr>
        <w:tc>
          <w:tcPr>
            <w:tcW w:w="7371" w:type="dxa"/>
            <w:shd w:val="clear" w:color="auto" w:fill="DDD9C3"/>
            <w:hideMark/>
          </w:tcPr>
          <w:p w:rsidR="008F0BFC" w:rsidRPr="00DA5E33" w:rsidRDefault="008F0BFC" w:rsidP="00A25F72">
            <w:pPr>
              <w:spacing w:before="100" w:beforeAutospacing="1" w:after="100" w:afterAutospacing="1"/>
              <w:outlineLvl w:val="0"/>
              <w:rPr>
                <w:rFonts w:ascii="Arial Narrow" w:hAnsi="Arial Narrow" w:cs="Calibri"/>
                <w:b/>
                <w:bCs/>
              </w:rPr>
            </w:pPr>
            <w:r w:rsidRPr="00DA5E33">
              <w:rPr>
                <w:rFonts w:ascii="Arial Narrow" w:hAnsi="Arial Narrow" w:cs="Calibri"/>
                <w:b/>
                <w:bCs/>
              </w:rPr>
              <w:t>E.1.4. Comunicación telefónica</w:t>
            </w:r>
            <w:r w:rsidRPr="00DA5E33">
              <w:rPr>
                <w:rFonts w:ascii="Arial Narrow" w:hAnsi="Arial Narrow" w:cs="Calibri"/>
                <w:b/>
                <w:bCs/>
              </w:rPr>
              <w:br/>
              <w:t>El estudiante será capaz de…</w:t>
            </w:r>
          </w:p>
        </w:tc>
        <w:tc>
          <w:tcPr>
            <w:tcW w:w="567"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X</w:t>
            </w:r>
          </w:p>
        </w:tc>
        <w:tc>
          <w:tcPr>
            <w:tcW w:w="709" w:type="dxa"/>
            <w:shd w:val="clear" w:color="auto" w:fill="DDD9C3"/>
            <w:noWrap/>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Me</w:t>
            </w:r>
          </w:p>
        </w:tc>
        <w:tc>
          <w:tcPr>
            <w:tcW w:w="567"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RI</w:t>
            </w:r>
          </w:p>
        </w:tc>
        <w:tc>
          <w:tcPr>
            <w:tcW w:w="1134"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 fuera Me</w:t>
            </w:r>
          </w:p>
        </w:tc>
      </w:tr>
      <w:tr w:rsidR="008F0BFC" w:rsidRPr="00DA5E33" w:rsidTr="005A2024">
        <w:trPr>
          <w:trHeight w:val="315"/>
        </w:trPr>
        <w:tc>
          <w:tcPr>
            <w:tcW w:w="7371" w:type="dxa"/>
            <w:noWrap/>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121.  Reconocer los usos y las limitaciones de la comunicación telefónica con pacientes.</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8,0</w:t>
            </w:r>
          </w:p>
        </w:tc>
        <w:tc>
          <w:tcPr>
            <w:tcW w:w="709"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2,0</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11,4</w:t>
            </w:r>
          </w:p>
        </w:tc>
      </w:tr>
      <w:tr w:rsidR="008F0BFC" w:rsidRPr="00DA5E33" w:rsidTr="005A2024">
        <w:trPr>
          <w:trHeight w:val="630"/>
        </w:trPr>
        <w:tc>
          <w:tcPr>
            <w:tcW w:w="7371" w:type="dxa"/>
            <w:noWrap/>
            <w:hideMark/>
          </w:tcPr>
          <w:p w:rsidR="008F0BFC" w:rsidRPr="00DA5E33" w:rsidRDefault="008F0BFC" w:rsidP="00A25F72">
            <w:pPr>
              <w:spacing w:before="100" w:beforeAutospacing="1" w:after="100" w:afterAutospacing="1"/>
              <w:jc w:val="both"/>
              <w:outlineLvl w:val="0"/>
              <w:rPr>
                <w:rFonts w:ascii="Arial Narrow" w:hAnsi="Arial Narrow" w:cs="Calibri"/>
              </w:rPr>
            </w:pPr>
            <w:r w:rsidRPr="00DA5E33">
              <w:rPr>
                <w:rFonts w:ascii="Arial Narrow" w:hAnsi="Arial Narrow" w:cs="Calibri"/>
              </w:rPr>
              <w:t>122. Comunicar telefónicamente con pacientes atendiendo a las demandas específicas y adaptaciones comunicacionales que este medio requiere.</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7,8</w:t>
            </w:r>
          </w:p>
        </w:tc>
        <w:tc>
          <w:tcPr>
            <w:tcW w:w="709"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2,0</w:t>
            </w:r>
          </w:p>
        </w:tc>
        <w:tc>
          <w:tcPr>
            <w:tcW w:w="1134"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13,6</w:t>
            </w:r>
          </w:p>
        </w:tc>
      </w:tr>
    </w:tbl>
    <w:p w:rsidR="008F0BFC" w:rsidRDefault="008F0BFC" w:rsidP="008F0BFC">
      <w:r>
        <w:br w:type="page"/>
      </w: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567"/>
        <w:gridCol w:w="567"/>
        <w:gridCol w:w="567"/>
        <w:gridCol w:w="992"/>
      </w:tblGrid>
      <w:tr w:rsidR="008F0BFC" w:rsidRPr="00DA5E33" w:rsidTr="005A2024">
        <w:trPr>
          <w:trHeight w:val="1157"/>
        </w:trPr>
        <w:tc>
          <w:tcPr>
            <w:tcW w:w="10206" w:type="dxa"/>
            <w:gridSpan w:val="5"/>
            <w:tcBorders>
              <w:bottom w:val="single" w:sz="4" w:space="0" w:color="000000"/>
            </w:tcBorders>
            <w:shd w:val="clear" w:color="auto" w:fill="DDD9C3"/>
            <w:hideMark/>
          </w:tcPr>
          <w:p w:rsidR="008F0BFC" w:rsidRPr="00DA5E33" w:rsidRDefault="008F0BFC" w:rsidP="00A25F72">
            <w:pPr>
              <w:spacing w:before="100" w:beforeAutospacing="1" w:after="100" w:afterAutospacing="1"/>
              <w:outlineLvl w:val="0"/>
              <w:rPr>
                <w:rFonts w:ascii="Arial Narrow" w:eastAsia="Calibri" w:hAnsi="Arial Narrow" w:cs="Calibri"/>
                <w:b/>
                <w:bCs/>
                <w:lang w:eastAsia="en-US"/>
              </w:rPr>
            </w:pPr>
            <w:r w:rsidRPr="00DA5E33">
              <w:rPr>
                <w:rFonts w:ascii="Calibri" w:eastAsia="Calibri" w:hAnsi="Calibri"/>
                <w:sz w:val="22"/>
                <w:szCs w:val="22"/>
                <w:lang w:eastAsia="en-US"/>
              </w:rPr>
              <w:br w:type="page"/>
            </w:r>
            <w:r w:rsidRPr="00DA5E33">
              <w:rPr>
                <w:rFonts w:ascii="Arial Narrow" w:eastAsia="Calibri" w:hAnsi="Arial Narrow" w:cs="Calibri"/>
                <w:b/>
                <w:bCs/>
                <w:lang w:eastAsia="en-US"/>
              </w:rPr>
              <w:t>F) COMUNICACIÓN EN SITUACIONES ESPECIALES</w:t>
            </w:r>
            <w:r w:rsidRPr="00DA5E33">
              <w:rPr>
                <w:rFonts w:ascii="Arial Narrow" w:eastAsia="Calibri" w:hAnsi="Arial Narrow" w:cs="Calibri"/>
                <w:b/>
                <w:bCs/>
                <w:lang w:eastAsia="en-US"/>
              </w:rPr>
              <w:br/>
              <w:t>F.1. Contextos comunicacionales específicos (El estudiante  aplica y adapta las habilidades comunicacionales nucleares ante situaciones clínicas específicas y  utiliza habilidades concretas que cada situación pueda requerir)</w:t>
            </w:r>
          </w:p>
        </w:tc>
      </w:tr>
      <w:tr w:rsidR="008F0BFC" w:rsidRPr="00DA5E33" w:rsidTr="005A2024">
        <w:trPr>
          <w:trHeight w:val="570"/>
        </w:trPr>
        <w:tc>
          <w:tcPr>
            <w:tcW w:w="7513" w:type="dxa"/>
            <w:shd w:val="clear" w:color="auto" w:fill="DDD9C3"/>
            <w:hideMark/>
          </w:tcPr>
          <w:p w:rsidR="008F0BFC" w:rsidRPr="00DA5E33" w:rsidRDefault="008F0BFC" w:rsidP="00A25F72">
            <w:pPr>
              <w:spacing w:before="100" w:beforeAutospacing="1" w:after="100" w:afterAutospacing="1"/>
              <w:outlineLvl w:val="0"/>
              <w:rPr>
                <w:rFonts w:ascii="Arial Narrow" w:eastAsia="Calibri" w:hAnsi="Arial Narrow" w:cs="Calibri"/>
                <w:lang w:eastAsia="en-US"/>
              </w:rPr>
            </w:pPr>
            <w:r w:rsidRPr="00DA5E33">
              <w:rPr>
                <w:rFonts w:ascii="Arial Narrow" w:eastAsia="Calibri" w:hAnsi="Arial Narrow" w:cs="Calibri"/>
                <w:b/>
                <w:bCs/>
                <w:lang w:eastAsia="en-US"/>
              </w:rPr>
              <w:t>F.1.1. Situaciones sensibles</w:t>
            </w:r>
            <w:r w:rsidRPr="00DA5E33">
              <w:rPr>
                <w:rFonts w:ascii="Arial Narrow" w:eastAsia="Calibri" w:hAnsi="Arial Narrow" w:cs="Calibri"/>
                <w:b/>
                <w:bCs/>
                <w:lang w:eastAsia="en-US"/>
              </w:rPr>
              <w:br/>
              <w:t>El estudiante será capaz de…</w:t>
            </w:r>
          </w:p>
        </w:tc>
        <w:tc>
          <w:tcPr>
            <w:tcW w:w="567"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X</w:t>
            </w:r>
          </w:p>
        </w:tc>
        <w:tc>
          <w:tcPr>
            <w:tcW w:w="567" w:type="dxa"/>
            <w:shd w:val="clear" w:color="auto" w:fill="DDD9C3"/>
            <w:noWrap/>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Me</w:t>
            </w:r>
          </w:p>
        </w:tc>
        <w:tc>
          <w:tcPr>
            <w:tcW w:w="567"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RI</w:t>
            </w:r>
          </w:p>
        </w:tc>
        <w:tc>
          <w:tcPr>
            <w:tcW w:w="992"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 fuera Me</w:t>
            </w:r>
          </w:p>
        </w:tc>
      </w:tr>
      <w:tr w:rsidR="008F0BFC" w:rsidRPr="00DA5E33" w:rsidTr="005A2024">
        <w:trPr>
          <w:trHeight w:val="945"/>
        </w:trPr>
        <w:tc>
          <w:tcPr>
            <w:tcW w:w="7513" w:type="dxa"/>
            <w:hideMark/>
          </w:tcPr>
          <w:p w:rsidR="008F0BFC" w:rsidRPr="00DA5E33" w:rsidRDefault="008F0BFC" w:rsidP="00A25F72">
            <w:pPr>
              <w:spacing w:before="100" w:beforeAutospacing="1" w:after="100" w:afterAutospacing="1"/>
              <w:jc w:val="both"/>
              <w:outlineLvl w:val="0"/>
              <w:rPr>
                <w:rFonts w:ascii="Arial Narrow" w:eastAsia="Calibri" w:hAnsi="Arial Narrow" w:cs="Calibri"/>
                <w:lang w:eastAsia="en-US"/>
              </w:rPr>
            </w:pPr>
            <w:r w:rsidRPr="00DA5E33">
              <w:rPr>
                <w:rFonts w:ascii="Arial Narrow" w:eastAsia="Calibri" w:hAnsi="Arial Narrow" w:cs="Calibri"/>
                <w:lang w:eastAsia="en-US"/>
              </w:rPr>
              <w:t xml:space="preserve">123. Reconocer situaciones delicadas que representen retos comunicacionales (del tipo de dar malas noticias, afrontar temas sobre el final de la vida, situaciones de duelo, historia sexual, violencia de género, maltrato infantil, infección VIH, explicar situaciones de incertidumbre clínica…). </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8,5</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4,5</w:t>
            </w:r>
          </w:p>
        </w:tc>
      </w:tr>
      <w:tr w:rsidR="008F0BFC" w:rsidRPr="00DA5E33" w:rsidTr="005A2024">
        <w:trPr>
          <w:trHeight w:val="945"/>
        </w:trPr>
        <w:tc>
          <w:tcPr>
            <w:tcW w:w="7513" w:type="dxa"/>
            <w:hideMark/>
          </w:tcPr>
          <w:p w:rsidR="008F0BFC" w:rsidRPr="00DA5E33" w:rsidRDefault="008F0BFC" w:rsidP="00A25F72">
            <w:pPr>
              <w:spacing w:before="100" w:beforeAutospacing="1" w:after="100" w:afterAutospacing="1"/>
              <w:jc w:val="both"/>
              <w:outlineLvl w:val="0"/>
              <w:rPr>
                <w:rFonts w:ascii="Arial Narrow" w:eastAsia="Calibri" w:hAnsi="Arial Narrow" w:cs="Calibri"/>
                <w:lang w:eastAsia="en-US"/>
              </w:rPr>
            </w:pPr>
            <w:r w:rsidRPr="00DA5E33">
              <w:rPr>
                <w:rFonts w:ascii="Arial Narrow" w:eastAsia="Calibri" w:hAnsi="Arial Narrow" w:cs="Calibri"/>
                <w:lang w:eastAsia="en-US"/>
              </w:rPr>
              <w:t xml:space="preserve">124. Abordar algunas de ellas de manera sensible y constructiva mediante la aplicación y adaptación de las habilidades comunicacionales nucleares y la utilización de estrategias y habilidades específicas que cada una de ellas pueda requerir. </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8,2</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9,1</w:t>
            </w:r>
          </w:p>
        </w:tc>
      </w:tr>
      <w:tr w:rsidR="008F0BFC" w:rsidRPr="00DA5E33" w:rsidTr="005A2024">
        <w:trPr>
          <w:trHeight w:val="630"/>
        </w:trPr>
        <w:tc>
          <w:tcPr>
            <w:tcW w:w="7513" w:type="dxa"/>
            <w:tcBorders>
              <w:bottom w:val="single" w:sz="4" w:space="0" w:color="000000"/>
            </w:tcBorders>
            <w:hideMark/>
          </w:tcPr>
          <w:p w:rsidR="008F0BFC" w:rsidRPr="00DA5E33" w:rsidRDefault="008F0BFC" w:rsidP="00A25F72">
            <w:pPr>
              <w:spacing w:before="100" w:beforeAutospacing="1" w:after="100" w:afterAutospacing="1"/>
              <w:jc w:val="both"/>
              <w:outlineLvl w:val="0"/>
              <w:rPr>
                <w:rFonts w:ascii="Arial Narrow" w:eastAsia="Calibri" w:hAnsi="Arial Narrow" w:cs="Calibri"/>
                <w:lang w:eastAsia="en-US"/>
              </w:rPr>
            </w:pPr>
            <w:r w:rsidRPr="00DA5E33">
              <w:rPr>
                <w:rFonts w:ascii="Arial Narrow" w:eastAsia="Calibri" w:hAnsi="Arial Narrow" w:cs="Calibri"/>
                <w:lang w:eastAsia="en-US"/>
              </w:rPr>
              <w:t xml:space="preserve">125.  Conocer los aspectos legales imprescindibles vigentes en cada legislación </w:t>
            </w:r>
            <w:proofErr w:type="gramStart"/>
            <w:r w:rsidRPr="00DA5E33">
              <w:rPr>
                <w:rFonts w:ascii="Arial Narrow" w:eastAsia="Calibri" w:hAnsi="Arial Narrow" w:cs="Calibri"/>
                <w:lang w:eastAsia="en-US"/>
              </w:rPr>
              <w:t>relacionados</w:t>
            </w:r>
            <w:proofErr w:type="gramEnd"/>
            <w:r w:rsidRPr="00DA5E33">
              <w:rPr>
                <w:rFonts w:ascii="Arial Narrow" w:eastAsia="Calibri" w:hAnsi="Arial Narrow" w:cs="Calibri"/>
                <w:lang w:eastAsia="en-US"/>
              </w:rPr>
              <w:t xml:space="preserve"> con el manejo de algunas de estas situaciones. </w:t>
            </w:r>
          </w:p>
        </w:tc>
        <w:tc>
          <w:tcPr>
            <w:tcW w:w="567"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7,9</w:t>
            </w:r>
          </w:p>
        </w:tc>
        <w:tc>
          <w:tcPr>
            <w:tcW w:w="567"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2,0</w:t>
            </w:r>
          </w:p>
        </w:tc>
        <w:tc>
          <w:tcPr>
            <w:tcW w:w="992"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13,6</w:t>
            </w:r>
          </w:p>
        </w:tc>
      </w:tr>
      <w:tr w:rsidR="008F0BFC" w:rsidRPr="00DA5E33" w:rsidTr="005A2024">
        <w:trPr>
          <w:trHeight w:val="590"/>
        </w:trPr>
        <w:tc>
          <w:tcPr>
            <w:tcW w:w="7513" w:type="dxa"/>
            <w:shd w:val="clear" w:color="auto" w:fill="DDD9C3"/>
            <w:hideMark/>
          </w:tcPr>
          <w:p w:rsidR="008F0BFC" w:rsidRPr="00DA5E33" w:rsidRDefault="008F0BFC" w:rsidP="00A25F72">
            <w:pPr>
              <w:spacing w:before="100" w:beforeAutospacing="1" w:after="100" w:afterAutospacing="1"/>
              <w:outlineLvl w:val="0"/>
              <w:rPr>
                <w:rFonts w:ascii="Arial Narrow" w:eastAsia="Calibri" w:hAnsi="Arial Narrow" w:cs="Calibri"/>
                <w:b/>
                <w:bCs/>
                <w:lang w:eastAsia="en-US"/>
              </w:rPr>
            </w:pPr>
            <w:r w:rsidRPr="00DA5E33">
              <w:rPr>
                <w:rFonts w:ascii="Arial Narrow" w:eastAsia="Calibri" w:hAnsi="Arial Narrow" w:cs="Calibri"/>
                <w:b/>
                <w:bCs/>
                <w:lang w:eastAsia="en-US"/>
              </w:rPr>
              <w:t>F.1.2. Manejo de las emociones</w:t>
            </w:r>
            <w:r w:rsidRPr="00DA5E33">
              <w:rPr>
                <w:rFonts w:ascii="Arial Narrow" w:eastAsia="Calibri" w:hAnsi="Arial Narrow" w:cs="Calibri"/>
                <w:b/>
                <w:bCs/>
                <w:lang w:eastAsia="en-US"/>
              </w:rPr>
              <w:br/>
              <w:t>El estudiante será capaz de…</w:t>
            </w:r>
          </w:p>
        </w:tc>
        <w:tc>
          <w:tcPr>
            <w:tcW w:w="567"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X</w:t>
            </w:r>
          </w:p>
        </w:tc>
        <w:tc>
          <w:tcPr>
            <w:tcW w:w="567" w:type="dxa"/>
            <w:shd w:val="clear" w:color="auto" w:fill="DDD9C3"/>
            <w:noWrap/>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Me</w:t>
            </w:r>
          </w:p>
        </w:tc>
        <w:tc>
          <w:tcPr>
            <w:tcW w:w="567"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RI</w:t>
            </w:r>
          </w:p>
        </w:tc>
        <w:tc>
          <w:tcPr>
            <w:tcW w:w="992"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 fuera Me</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eastAsia="Calibri" w:hAnsi="Arial Narrow" w:cs="Calibri"/>
                <w:lang w:eastAsia="en-US"/>
              </w:rPr>
            </w:pPr>
            <w:r w:rsidRPr="00DA5E33">
              <w:rPr>
                <w:rFonts w:ascii="Arial Narrow" w:eastAsia="Calibri" w:hAnsi="Arial Narrow" w:cs="Calibri"/>
                <w:lang w:eastAsia="en-US"/>
              </w:rPr>
              <w:t>126. Reconocer situaciones de tensión emocional en las consultas (del tipo de estrés, temor, enfado, agresividad, negación, colusión, vergüenza…).</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8,3</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4,5</w:t>
            </w:r>
          </w:p>
        </w:tc>
      </w:tr>
      <w:tr w:rsidR="008F0BFC" w:rsidRPr="00DA5E33" w:rsidTr="005A2024">
        <w:trPr>
          <w:trHeight w:val="945"/>
        </w:trPr>
        <w:tc>
          <w:tcPr>
            <w:tcW w:w="7513" w:type="dxa"/>
            <w:tcBorders>
              <w:bottom w:val="single" w:sz="4" w:space="0" w:color="000000"/>
            </w:tcBorders>
            <w:hideMark/>
          </w:tcPr>
          <w:p w:rsidR="008F0BFC" w:rsidRPr="00DA5E33" w:rsidRDefault="008F0BFC" w:rsidP="00A25F72">
            <w:pPr>
              <w:spacing w:before="100" w:beforeAutospacing="1" w:after="100" w:afterAutospacing="1"/>
              <w:jc w:val="both"/>
              <w:outlineLvl w:val="0"/>
              <w:rPr>
                <w:rFonts w:ascii="Arial Narrow" w:eastAsia="Calibri" w:hAnsi="Arial Narrow" w:cs="Calibri"/>
                <w:lang w:eastAsia="en-US"/>
              </w:rPr>
            </w:pPr>
            <w:r w:rsidRPr="00DA5E33">
              <w:rPr>
                <w:rFonts w:ascii="Arial Narrow" w:eastAsia="Calibri" w:hAnsi="Arial Narrow" w:cs="Calibri"/>
                <w:lang w:eastAsia="en-US"/>
              </w:rPr>
              <w:t xml:space="preserve">127.  Abordar algunas de ellas de manera sensible y constructiva mediante la aplicación y adaptación de las habilidades comunicacionales nucleares y la utilización de estrategias y habilidades específicas que cada una de ellas pueda requerir. </w:t>
            </w:r>
          </w:p>
        </w:tc>
        <w:tc>
          <w:tcPr>
            <w:tcW w:w="567"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7,9</w:t>
            </w:r>
          </w:p>
        </w:tc>
        <w:tc>
          <w:tcPr>
            <w:tcW w:w="567"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8,5</w:t>
            </w:r>
          </w:p>
        </w:tc>
        <w:tc>
          <w:tcPr>
            <w:tcW w:w="567"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1,5</w:t>
            </w:r>
          </w:p>
        </w:tc>
        <w:tc>
          <w:tcPr>
            <w:tcW w:w="992"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9,1</w:t>
            </w:r>
          </w:p>
        </w:tc>
      </w:tr>
      <w:tr w:rsidR="008F0BFC" w:rsidRPr="00DA5E33" w:rsidTr="005A2024">
        <w:trPr>
          <w:trHeight w:val="564"/>
        </w:trPr>
        <w:tc>
          <w:tcPr>
            <w:tcW w:w="7513" w:type="dxa"/>
            <w:shd w:val="clear" w:color="auto" w:fill="DDD9C3"/>
            <w:hideMark/>
          </w:tcPr>
          <w:p w:rsidR="008F0BFC" w:rsidRPr="00DA5E33" w:rsidRDefault="008F0BFC" w:rsidP="00A25F72">
            <w:pPr>
              <w:spacing w:before="100" w:beforeAutospacing="1" w:after="100" w:afterAutospacing="1"/>
              <w:outlineLvl w:val="0"/>
              <w:rPr>
                <w:rFonts w:ascii="Arial Narrow" w:eastAsia="Calibri" w:hAnsi="Arial Narrow" w:cs="Calibri"/>
                <w:b/>
                <w:bCs/>
                <w:lang w:eastAsia="en-US"/>
              </w:rPr>
            </w:pPr>
            <w:r w:rsidRPr="00DA5E33">
              <w:rPr>
                <w:rFonts w:ascii="Arial Narrow" w:eastAsia="Calibri" w:hAnsi="Arial Narrow" w:cs="Calibri"/>
                <w:b/>
                <w:bCs/>
                <w:lang w:eastAsia="en-US"/>
              </w:rPr>
              <w:t>F.1.3. Diversidad cultural y social</w:t>
            </w:r>
            <w:r w:rsidRPr="00DA5E33">
              <w:rPr>
                <w:rFonts w:ascii="Arial Narrow" w:eastAsia="Calibri" w:hAnsi="Arial Narrow" w:cs="Calibri"/>
                <w:b/>
                <w:bCs/>
                <w:lang w:eastAsia="en-US"/>
              </w:rPr>
              <w:br/>
              <w:t>El estudiante será capaz de…</w:t>
            </w:r>
          </w:p>
        </w:tc>
        <w:tc>
          <w:tcPr>
            <w:tcW w:w="567"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X</w:t>
            </w:r>
          </w:p>
        </w:tc>
        <w:tc>
          <w:tcPr>
            <w:tcW w:w="567" w:type="dxa"/>
            <w:shd w:val="clear" w:color="auto" w:fill="DDD9C3"/>
            <w:noWrap/>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Me</w:t>
            </w:r>
          </w:p>
        </w:tc>
        <w:tc>
          <w:tcPr>
            <w:tcW w:w="567"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RI</w:t>
            </w:r>
          </w:p>
        </w:tc>
        <w:tc>
          <w:tcPr>
            <w:tcW w:w="992"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 fuera Me</w:t>
            </w:r>
          </w:p>
        </w:tc>
      </w:tr>
      <w:tr w:rsidR="008F0BFC" w:rsidRPr="00DA5E33" w:rsidTr="005A2024">
        <w:trPr>
          <w:trHeight w:val="945"/>
        </w:trPr>
        <w:tc>
          <w:tcPr>
            <w:tcW w:w="7513" w:type="dxa"/>
            <w:hideMark/>
          </w:tcPr>
          <w:p w:rsidR="008F0BFC" w:rsidRPr="00DA5E33" w:rsidRDefault="008F0BFC" w:rsidP="00A25F72">
            <w:pPr>
              <w:spacing w:before="100" w:beforeAutospacing="1" w:after="100" w:afterAutospacing="1"/>
              <w:jc w:val="both"/>
              <w:outlineLvl w:val="0"/>
              <w:rPr>
                <w:rFonts w:ascii="Arial Narrow" w:eastAsia="Calibri" w:hAnsi="Arial Narrow" w:cs="Calibri"/>
                <w:lang w:eastAsia="en-US"/>
              </w:rPr>
            </w:pPr>
            <w:r w:rsidRPr="00DA5E33">
              <w:rPr>
                <w:rFonts w:ascii="Arial Narrow" w:eastAsia="Calibri" w:hAnsi="Arial Narrow" w:cs="Calibri"/>
                <w:lang w:eastAsia="en-US"/>
              </w:rPr>
              <w:t xml:space="preserve">128. Reconocer la diversidad cultural y social de los pacientes (etnicidad, nacionalidad, estatus socioeconómico, idioma, religión, género, valores, sexualidad…) y las dificultades comunicacionales que esto conlleva. </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8,4</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6,8</w:t>
            </w:r>
          </w:p>
        </w:tc>
      </w:tr>
      <w:tr w:rsidR="008F0BFC" w:rsidRPr="00DA5E33" w:rsidTr="005A2024">
        <w:trPr>
          <w:trHeight w:val="945"/>
        </w:trPr>
        <w:tc>
          <w:tcPr>
            <w:tcW w:w="7513" w:type="dxa"/>
            <w:tcBorders>
              <w:bottom w:val="single" w:sz="4" w:space="0" w:color="000000"/>
            </w:tcBorders>
            <w:hideMark/>
          </w:tcPr>
          <w:p w:rsidR="008F0BFC" w:rsidRPr="00DA5E33" w:rsidRDefault="008F0BFC" w:rsidP="00A25F72">
            <w:pPr>
              <w:spacing w:before="100" w:beforeAutospacing="1" w:after="100" w:afterAutospacing="1"/>
              <w:jc w:val="both"/>
              <w:outlineLvl w:val="0"/>
              <w:rPr>
                <w:rFonts w:ascii="Arial Narrow" w:eastAsia="Calibri" w:hAnsi="Arial Narrow" w:cs="Calibri"/>
                <w:lang w:eastAsia="en-US"/>
              </w:rPr>
            </w:pPr>
            <w:r w:rsidRPr="00DA5E33">
              <w:rPr>
                <w:rFonts w:ascii="Arial Narrow" w:eastAsia="Calibri" w:hAnsi="Arial Narrow" w:cs="Calibri"/>
                <w:lang w:eastAsia="en-US"/>
              </w:rPr>
              <w:t xml:space="preserve">129. Abordar algunas de ellas de manera sensible y constructiva mediante la aplicación y adaptación de las habilidades comunicacionales nucleares y la utilización de estrategias y habilidades específicas que cada una de ellas pueda requerir. </w:t>
            </w:r>
          </w:p>
        </w:tc>
        <w:tc>
          <w:tcPr>
            <w:tcW w:w="567"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8,0</w:t>
            </w:r>
          </w:p>
        </w:tc>
        <w:tc>
          <w:tcPr>
            <w:tcW w:w="567"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8,5</w:t>
            </w:r>
          </w:p>
        </w:tc>
        <w:tc>
          <w:tcPr>
            <w:tcW w:w="567"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992"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13,6</w:t>
            </w:r>
          </w:p>
        </w:tc>
      </w:tr>
      <w:tr w:rsidR="008F0BFC" w:rsidRPr="00DA5E33" w:rsidTr="005A2024">
        <w:trPr>
          <w:trHeight w:val="515"/>
        </w:trPr>
        <w:tc>
          <w:tcPr>
            <w:tcW w:w="7513" w:type="dxa"/>
            <w:shd w:val="clear" w:color="auto" w:fill="DDD9C3"/>
            <w:hideMark/>
          </w:tcPr>
          <w:p w:rsidR="008F0BFC" w:rsidRPr="00DA5E33" w:rsidRDefault="008F0BFC" w:rsidP="00A25F72">
            <w:pPr>
              <w:spacing w:before="100" w:beforeAutospacing="1" w:after="100" w:afterAutospacing="1"/>
              <w:outlineLvl w:val="0"/>
              <w:rPr>
                <w:rFonts w:ascii="Arial Narrow" w:eastAsia="Calibri" w:hAnsi="Arial Narrow" w:cs="Calibri"/>
                <w:b/>
                <w:bCs/>
                <w:lang w:eastAsia="en-US"/>
              </w:rPr>
            </w:pPr>
            <w:r w:rsidRPr="00DA5E33">
              <w:rPr>
                <w:rFonts w:ascii="Arial Narrow" w:eastAsia="Calibri" w:hAnsi="Arial Narrow" w:cs="Calibri"/>
                <w:b/>
                <w:bCs/>
                <w:lang w:eastAsia="en-US"/>
              </w:rPr>
              <w:t>F.1.4. Promoción de la salud y modificación de conductas</w:t>
            </w:r>
            <w:r w:rsidRPr="00DA5E33">
              <w:rPr>
                <w:rFonts w:ascii="Arial Narrow" w:eastAsia="Calibri" w:hAnsi="Arial Narrow" w:cs="Calibri"/>
                <w:b/>
                <w:bCs/>
                <w:lang w:eastAsia="en-US"/>
              </w:rPr>
              <w:br/>
              <w:t>El estudiante será capaz de…</w:t>
            </w:r>
          </w:p>
        </w:tc>
        <w:tc>
          <w:tcPr>
            <w:tcW w:w="567"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X</w:t>
            </w:r>
          </w:p>
        </w:tc>
        <w:tc>
          <w:tcPr>
            <w:tcW w:w="567" w:type="dxa"/>
            <w:shd w:val="clear" w:color="auto" w:fill="DDD9C3"/>
            <w:noWrap/>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Me</w:t>
            </w:r>
          </w:p>
        </w:tc>
        <w:tc>
          <w:tcPr>
            <w:tcW w:w="567"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RI</w:t>
            </w:r>
          </w:p>
        </w:tc>
        <w:tc>
          <w:tcPr>
            <w:tcW w:w="992"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 fuera Me</w:t>
            </w:r>
          </w:p>
        </w:tc>
      </w:tr>
      <w:tr w:rsidR="008F0BFC" w:rsidRPr="00DA5E33" w:rsidTr="005A2024">
        <w:trPr>
          <w:trHeight w:val="315"/>
        </w:trPr>
        <w:tc>
          <w:tcPr>
            <w:tcW w:w="7513" w:type="dxa"/>
            <w:hideMark/>
          </w:tcPr>
          <w:p w:rsidR="008F0BFC" w:rsidRPr="00DA5E33" w:rsidRDefault="008F0BFC" w:rsidP="00A25F72">
            <w:pPr>
              <w:spacing w:before="100" w:beforeAutospacing="1" w:after="100" w:afterAutospacing="1"/>
              <w:jc w:val="both"/>
              <w:outlineLvl w:val="0"/>
              <w:rPr>
                <w:rFonts w:ascii="Arial Narrow" w:eastAsia="Calibri" w:hAnsi="Arial Narrow" w:cs="Calibri"/>
                <w:lang w:eastAsia="en-US"/>
              </w:rPr>
            </w:pPr>
            <w:r w:rsidRPr="00DA5E33">
              <w:rPr>
                <w:rFonts w:ascii="Arial Narrow" w:eastAsia="Calibri" w:hAnsi="Arial Narrow" w:cs="Calibri"/>
                <w:lang w:eastAsia="en-US"/>
              </w:rPr>
              <w:t>130. Describir los principios básicos de la motivación.</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7,7</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8,5</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2,0</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13,6</w:t>
            </w:r>
          </w:p>
        </w:tc>
      </w:tr>
      <w:tr w:rsidR="008F0BFC" w:rsidRPr="00DA5E33" w:rsidTr="005A2024">
        <w:trPr>
          <w:trHeight w:val="630"/>
        </w:trPr>
        <w:tc>
          <w:tcPr>
            <w:tcW w:w="7513" w:type="dxa"/>
            <w:hideMark/>
          </w:tcPr>
          <w:p w:rsidR="008F0BFC" w:rsidRPr="00DA5E33" w:rsidRDefault="008F0BFC" w:rsidP="00A25F72">
            <w:pPr>
              <w:spacing w:before="100" w:beforeAutospacing="1" w:after="100" w:afterAutospacing="1"/>
              <w:jc w:val="both"/>
              <w:outlineLvl w:val="0"/>
              <w:rPr>
                <w:rFonts w:ascii="Arial Narrow" w:eastAsia="Calibri" w:hAnsi="Arial Narrow" w:cs="Calibri"/>
                <w:lang w:eastAsia="en-US"/>
              </w:rPr>
            </w:pPr>
            <w:r w:rsidRPr="00DA5E33">
              <w:rPr>
                <w:rFonts w:ascii="Arial Narrow" w:eastAsia="Calibri" w:hAnsi="Arial Narrow" w:cs="Calibri"/>
                <w:lang w:eastAsia="en-US"/>
              </w:rPr>
              <w:t>131. Reconocer los estadios del proceso de cambio en el que se encuentra un paciente a la hora de modificar conductas o seguir tratamientos.</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8,5</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2,0</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9,1</w:t>
            </w:r>
          </w:p>
        </w:tc>
      </w:tr>
    </w:tbl>
    <w:p w:rsidR="008F0BFC" w:rsidRPr="00A00BA4" w:rsidRDefault="008F0BFC" w:rsidP="008F0BFC">
      <w:pPr>
        <w:rPr>
          <w:rFonts w:ascii="Arial Narrow" w:hAnsi="Arial Narrow"/>
          <w:b/>
          <w:color w:val="006600"/>
          <w:sz w:val="36"/>
          <w:szCs w:val="36"/>
        </w:rPr>
      </w:pPr>
      <w:r>
        <w:br w:type="page"/>
      </w:r>
      <w:bookmarkStart w:id="0" w:name="_GoBack"/>
      <w:bookmarkEnd w:id="0"/>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567"/>
        <w:gridCol w:w="567"/>
        <w:gridCol w:w="567"/>
        <w:gridCol w:w="992"/>
      </w:tblGrid>
      <w:tr w:rsidR="008F0BFC" w:rsidRPr="00DA5E33" w:rsidTr="005A2024">
        <w:trPr>
          <w:trHeight w:val="315"/>
        </w:trPr>
        <w:tc>
          <w:tcPr>
            <w:tcW w:w="7513" w:type="dxa"/>
            <w:hideMark/>
          </w:tcPr>
          <w:p w:rsidR="008F0BFC" w:rsidRPr="00DA5E33" w:rsidRDefault="008F0BFC" w:rsidP="00A25F72">
            <w:pPr>
              <w:spacing w:before="100" w:beforeAutospacing="1" w:after="100" w:afterAutospacing="1"/>
              <w:jc w:val="both"/>
              <w:outlineLvl w:val="0"/>
              <w:rPr>
                <w:rFonts w:ascii="Arial Narrow" w:eastAsia="Calibri" w:hAnsi="Arial Narrow" w:cs="Calibri"/>
                <w:lang w:eastAsia="en-US"/>
              </w:rPr>
            </w:pPr>
            <w:r w:rsidRPr="00DA5E33">
              <w:rPr>
                <w:rFonts w:ascii="Arial Narrow" w:eastAsia="Calibri" w:hAnsi="Arial Narrow" w:cs="Calibri"/>
                <w:lang w:eastAsia="en-US"/>
              </w:rPr>
              <w:t xml:space="preserve">132. Explorar el grado de motivación del paciente para realizar cambios. </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8,2</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1,5</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6,8</w:t>
            </w:r>
          </w:p>
        </w:tc>
      </w:tr>
      <w:tr w:rsidR="008F0BFC" w:rsidRPr="00DA5E33" w:rsidTr="005A2024">
        <w:trPr>
          <w:trHeight w:val="315"/>
        </w:trPr>
        <w:tc>
          <w:tcPr>
            <w:tcW w:w="7513" w:type="dxa"/>
            <w:hideMark/>
          </w:tcPr>
          <w:p w:rsidR="008F0BFC" w:rsidRPr="00DA5E33" w:rsidRDefault="008F0BFC" w:rsidP="00A25F72">
            <w:pPr>
              <w:spacing w:before="100" w:beforeAutospacing="1" w:after="100" w:afterAutospacing="1"/>
              <w:jc w:val="both"/>
              <w:outlineLvl w:val="0"/>
              <w:rPr>
                <w:rFonts w:ascii="Arial Narrow" w:eastAsia="Calibri" w:hAnsi="Arial Narrow" w:cs="Calibri"/>
                <w:lang w:eastAsia="en-US"/>
              </w:rPr>
            </w:pPr>
            <w:r w:rsidRPr="00DA5E33">
              <w:rPr>
                <w:rFonts w:ascii="Arial Narrow" w:eastAsia="Calibri" w:hAnsi="Arial Narrow" w:cs="Calibri"/>
                <w:lang w:eastAsia="en-US"/>
              </w:rPr>
              <w:t>133. Aplicar  estrategias comunicacionales eficaces para la modificación de conductas.</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8,1</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11,4</w:t>
            </w:r>
          </w:p>
        </w:tc>
      </w:tr>
      <w:tr w:rsidR="008F0BFC" w:rsidRPr="00DA5E33" w:rsidTr="005A2024">
        <w:trPr>
          <w:trHeight w:val="630"/>
        </w:trPr>
        <w:tc>
          <w:tcPr>
            <w:tcW w:w="7513" w:type="dxa"/>
            <w:tcBorders>
              <w:bottom w:val="single" w:sz="4" w:space="0" w:color="000000"/>
            </w:tcBorders>
            <w:hideMark/>
          </w:tcPr>
          <w:p w:rsidR="008F0BFC" w:rsidRPr="00DA5E33" w:rsidRDefault="008F0BFC" w:rsidP="00A25F72">
            <w:pPr>
              <w:spacing w:before="100" w:beforeAutospacing="1" w:after="100" w:afterAutospacing="1"/>
              <w:jc w:val="both"/>
              <w:outlineLvl w:val="0"/>
              <w:rPr>
                <w:rFonts w:ascii="Arial Narrow" w:eastAsia="Calibri" w:hAnsi="Arial Narrow" w:cs="Calibri"/>
                <w:lang w:eastAsia="en-US"/>
              </w:rPr>
            </w:pPr>
            <w:r w:rsidRPr="00DA5E33">
              <w:rPr>
                <w:rFonts w:ascii="Arial Narrow" w:eastAsia="Calibri" w:hAnsi="Arial Narrow" w:cs="Calibri"/>
                <w:lang w:eastAsia="en-US"/>
              </w:rPr>
              <w:t>134. Asumir un enfoque preventivo y de promoción de la salud en la atención a pacientes y emplear conductas adecuadas para ello.</w:t>
            </w:r>
          </w:p>
        </w:tc>
        <w:tc>
          <w:tcPr>
            <w:tcW w:w="567"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8,4</w:t>
            </w:r>
          </w:p>
        </w:tc>
        <w:tc>
          <w:tcPr>
            <w:tcW w:w="567"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1,0</w:t>
            </w:r>
          </w:p>
        </w:tc>
        <w:tc>
          <w:tcPr>
            <w:tcW w:w="992"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2,3</w:t>
            </w:r>
          </w:p>
        </w:tc>
      </w:tr>
      <w:tr w:rsidR="008F0BFC" w:rsidRPr="00DA5E33" w:rsidTr="005A2024">
        <w:trPr>
          <w:trHeight w:val="553"/>
        </w:trPr>
        <w:tc>
          <w:tcPr>
            <w:tcW w:w="7513" w:type="dxa"/>
            <w:shd w:val="clear" w:color="auto" w:fill="DDD9C3"/>
            <w:hideMark/>
          </w:tcPr>
          <w:p w:rsidR="008F0BFC" w:rsidRPr="00DA5E33" w:rsidRDefault="008F0BFC" w:rsidP="00A25F72">
            <w:pPr>
              <w:spacing w:before="100" w:beforeAutospacing="1" w:after="100" w:afterAutospacing="1"/>
              <w:outlineLvl w:val="0"/>
              <w:rPr>
                <w:rFonts w:ascii="Arial Narrow" w:eastAsia="Calibri" w:hAnsi="Arial Narrow" w:cs="Calibri"/>
                <w:b/>
                <w:bCs/>
                <w:lang w:eastAsia="en-US"/>
              </w:rPr>
            </w:pPr>
            <w:r w:rsidRPr="00DA5E33">
              <w:rPr>
                <w:rFonts w:ascii="Calibri" w:eastAsia="Calibri" w:hAnsi="Calibri"/>
                <w:sz w:val="22"/>
                <w:szCs w:val="22"/>
                <w:lang w:eastAsia="en-US"/>
              </w:rPr>
              <w:br w:type="page"/>
            </w:r>
            <w:r w:rsidRPr="00DA5E33">
              <w:rPr>
                <w:rFonts w:ascii="Arial Narrow" w:eastAsia="Calibri" w:hAnsi="Arial Narrow" w:cs="Calibri"/>
                <w:b/>
                <w:bCs/>
                <w:lang w:eastAsia="en-US"/>
              </w:rPr>
              <w:t>F.1.5. Contextos clínicos específicos</w:t>
            </w:r>
            <w:r w:rsidRPr="00DA5E33">
              <w:rPr>
                <w:rFonts w:ascii="Arial Narrow" w:eastAsia="Calibri" w:hAnsi="Arial Narrow" w:cs="Calibri"/>
                <w:b/>
                <w:bCs/>
                <w:lang w:eastAsia="en-US"/>
              </w:rPr>
              <w:br/>
              <w:t>El estudiante será capaz de…</w:t>
            </w:r>
          </w:p>
        </w:tc>
        <w:tc>
          <w:tcPr>
            <w:tcW w:w="567"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X</w:t>
            </w:r>
          </w:p>
        </w:tc>
        <w:tc>
          <w:tcPr>
            <w:tcW w:w="567" w:type="dxa"/>
            <w:shd w:val="clear" w:color="auto" w:fill="DDD9C3"/>
            <w:noWrap/>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Me</w:t>
            </w:r>
          </w:p>
        </w:tc>
        <w:tc>
          <w:tcPr>
            <w:tcW w:w="567"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RI</w:t>
            </w:r>
          </w:p>
        </w:tc>
        <w:tc>
          <w:tcPr>
            <w:tcW w:w="992"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 fuera Me</w:t>
            </w:r>
          </w:p>
        </w:tc>
      </w:tr>
      <w:tr w:rsidR="008F0BFC" w:rsidRPr="00DA5E33" w:rsidTr="005A2024">
        <w:trPr>
          <w:trHeight w:val="1260"/>
        </w:trPr>
        <w:tc>
          <w:tcPr>
            <w:tcW w:w="7513" w:type="dxa"/>
            <w:tcBorders>
              <w:bottom w:val="single" w:sz="4" w:space="0" w:color="000000"/>
            </w:tcBorders>
            <w:noWrap/>
            <w:hideMark/>
          </w:tcPr>
          <w:p w:rsidR="008F0BFC" w:rsidRPr="00DA5E33" w:rsidRDefault="008F0BFC" w:rsidP="00A25F72">
            <w:pPr>
              <w:spacing w:before="100" w:beforeAutospacing="1" w:after="100" w:afterAutospacing="1"/>
              <w:jc w:val="both"/>
              <w:outlineLvl w:val="0"/>
              <w:rPr>
                <w:rFonts w:ascii="Arial Narrow" w:eastAsia="Calibri" w:hAnsi="Arial Narrow" w:cs="Calibri"/>
                <w:lang w:eastAsia="en-US"/>
              </w:rPr>
            </w:pPr>
            <w:r w:rsidRPr="00DA5E33">
              <w:rPr>
                <w:rFonts w:ascii="Arial Narrow" w:eastAsia="Calibri" w:hAnsi="Arial Narrow" w:cs="Calibri"/>
                <w:lang w:eastAsia="en-US"/>
              </w:rPr>
              <w:t xml:space="preserve">135. Abordar algunos contextos clínicos específicos (psiquiátricos, pacientes con demencia, con problemas sensoriales: auditivos, visuales, de expresión verbal) mediante la aplicación y adaptación de las habilidades comunicacionales nucleares y la  utilización de estrategias y habilidades específicas que cada una de ellas pueda requerir. </w:t>
            </w:r>
          </w:p>
        </w:tc>
        <w:tc>
          <w:tcPr>
            <w:tcW w:w="567"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8,1</w:t>
            </w:r>
          </w:p>
        </w:tc>
        <w:tc>
          <w:tcPr>
            <w:tcW w:w="567"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2,0</w:t>
            </w:r>
          </w:p>
        </w:tc>
        <w:tc>
          <w:tcPr>
            <w:tcW w:w="992" w:type="dxa"/>
            <w:tcBorders>
              <w:bottom w:val="single" w:sz="4" w:space="0" w:color="000000"/>
            </w:tcBorders>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11,4</w:t>
            </w:r>
          </w:p>
        </w:tc>
      </w:tr>
      <w:tr w:rsidR="008F0BFC" w:rsidRPr="00DA5E33" w:rsidTr="005A2024">
        <w:trPr>
          <w:trHeight w:val="498"/>
        </w:trPr>
        <w:tc>
          <w:tcPr>
            <w:tcW w:w="7513" w:type="dxa"/>
            <w:shd w:val="clear" w:color="auto" w:fill="DDD9C3"/>
            <w:hideMark/>
          </w:tcPr>
          <w:p w:rsidR="008F0BFC" w:rsidRPr="00DA5E33" w:rsidRDefault="008F0BFC" w:rsidP="00A25F72">
            <w:pPr>
              <w:spacing w:before="100" w:beforeAutospacing="1" w:after="100" w:afterAutospacing="1"/>
              <w:outlineLvl w:val="0"/>
              <w:rPr>
                <w:rFonts w:ascii="Arial Narrow" w:eastAsia="Calibri" w:hAnsi="Arial Narrow" w:cs="Calibri"/>
                <w:b/>
                <w:bCs/>
                <w:lang w:eastAsia="en-US"/>
              </w:rPr>
            </w:pPr>
            <w:r w:rsidRPr="00DA5E33">
              <w:rPr>
                <w:rFonts w:ascii="Arial Narrow" w:eastAsia="Calibri" w:hAnsi="Arial Narrow" w:cs="Calibri"/>
                <w:b/>
                <w:bCs/>
                <w:lang w:eastAsia="en-US"/>
              </w:rPr>
              <w:t>F.1.6. Pacientes de diferentes edades</w:t>
            </w:r>
            <w:r w:rsidRPr="00DA5E33">
              <w:rPr>
                <w:rFonts w:ascii="Arial Narrow" w:eastAsia="Calibri" w:hAnsi="Arial Narrow" w:cs="Calibri"/>
                <w:b/>
                <w:bCs/>
                <w:lang w:eastAsia="en-US"/>
              </w:rPr>
              <w:br/>
              <w:t>El estudiante será capaz de…</w:t>
            </w:r>
          </w:p>
        </w:tc>
        <w:tc>
          <w:tcPr>
            <w:tcW w:w="567"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X</w:t>
            </w:r>
          </w:p>
        </w:tc>
        <w:tc>
          <w:tcPr>
            <w:tcW w:w="567" w:type="dxa"/>
            <w:shd w:val="clear" w:color="auto" w:fill="DDD9C3"/>
            <w:noWrap/>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Me</w:t>
            </w:r>
          </w:p>
        </w:tc>
        <w:tc>
          <w:tcPr>
            <w:tcW w:w="567"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RI</w:t>
            </w:r>
          </w:p>
        </w:tc>
        <w:tc>
          <w:tcPr>
            <w:tcW w:w="992" w:type="dxa"/>
            <w:shd w:val="clear" w:color="auto" w:fill="DDD9C3"/>
            <w:hideMark/>
          </w:tcPr>
          <w:p w:rsidR="008F0BFC" w:rsidRPr="00DA5E33" w:rsidRDefault="008F0BFC" w:rsidP="00A25F72">
            <w:pPr>
              <w:spacing w:before="100" w:beforeAutospacing="1" w:after="100" w:afterAutospacing="1"/>
              <w:jc w:val="center"/>
              <w:outlineLvl w:val="0"/>
              <w:rPr>
                <w:rFonts w:ascii="Arial Narrow" w:eastAsia="Calibri" w:hAnsi="Arial Narrow" w:cs="Calibri"/>
                <w:b/>
                <w:bCs/>
                <w:lang w:eastAsia="en-US"/>
              </w:rPr>
            </w:pPr>
            <w:r w:rsidRPr="00DA5E33">
              <w:rPr>
                <w:rFonts w:ascii="Arial Narrow" w:eastAsia="Calibri" w:hAnsi="Arial Narrow" w:cs="Calibri"/>
                <w:b/>
                <w:bCs/>
                <w:lang w:eastAsia="en-US"/>
              </w:rPr>
              <w:t>% fuera Me</w:t>
            </w:r>
          </w:p>
        </w:tc>
      </w:tr>
      <w:tr w:rsidR="008F0BFC" w:rsidRPr="00DA5E33" w:rsidTr="005A2024">
        <w:trPr>
          <w:trHeight w:val="918"/>
        </w:trPr>
        <w:tc>
          <w:tcPr>
            <w:tcW w:w="7513" w:type="dxa"/>
            <w:noWrap/>
            <w:hideMark/>
          </w:tcPr>
          <w:p w:rsidR="008F0BFC" w:rsidRPr="00DA5E33" w:rsidRDefault="008F0BFC" w:rsidP="00A25F72">
            <w:pPr>
              <w:spacing w:before="100" w:beforeAutospacing="1" w:after="100" w:afterAutospacing="1"/>
              <w:jc w:val="both"/>
              <w:outlineLvl w:val="0"/>
              <w:rPr>
                <w:rFonts w:ascii="Arial Narrow" w:eastAsia="Calibri" w:hAnsi="Arial Narrow" w:cs="Calibri"/>
                <w:lang w:eastAsia="en-US"/>
              </w:rPr>
            </w:pPr>
            <w:r w:rsidRPr="00DA5E33">
              <w:rPr>
                <w:rFonts w:ascii="Arial Narrow" w:eastAsia="Calibri" w:hAnsi="Arial Narrow" w:cs="Calibri"/>
                <w:lang w:eastAsia="en-US"/>
              </w:rPr>
              <w:t xml:space="preserve">136. Comunicar con pacientes de diferentes grupos </w:t>
            </w:r>
            <w:proofErr w:type="spellStart"/>
            <w:r w:rsidRPr="00DA5E33">
              <w:rPr>
                <w:rFonts w:ascii="Arial Narrow" w:eastAsia="Calibri" w:hAnsi="Arial Narrow" w:cs="Calibri"/>
                <w:lang w:eastAsia="en-US"/>
              </w:rPr>
              <w:t>etareos</w:t>
            </w:r>
            <w:proofErr w:type="spellEnd"/>
            <w:r w:rsidRPr="00DA5E33">
              <w:rPr>
                <w:rFonts w:ascii="Arial Narrow" w:eastAsia="Calibri" w:hAnsi="Arial Narrow" w:cs="Calibri"/>
                <w:lang w:eastAsia="en-US"/>
              </w:rPr>
              <w:t xml:space="preserve"> (niños y padres, adolescentes, ancianos) mediante la aplicación y adaptación de las habilidades comunicacionales nucleares y la  utilización de estrategias y habilidades específicas que cada uno de ellos pueda requerir. </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8,3</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9,0</w:t>
            </w:r>
          </w:p>
        </w:tc>
        <w:tc>
          <w:tcPr>
            <w:tcW w:w="567"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1,5</w:t>
            </w:r>
          </w:p>
        </w:tc>
        <w:tc>
          <w:tcPr>
            <w:tcW w:w="992" w:type="dxa"/>
            <w:noWrap/>
            <w:hideMark/>
          </w:tcPr>
          <w:p w:rsidR="008F0BFC" w:rsidRDefault="008F0BFC" w:rsidP="00A25F72">
            <w:pPr>
              <w:jc w:val="center"/>
              <w:rPr>
                <w:rFonts w:ascii="Arial Narrow" w:hAnsi="Arial Narrow" w:cs="Calibri"/>
                <w:color w:val="000000"/>
              </w:rPr>
            </w:pPr>
            <w:r>
              <w:rPr>
                <w:rFonts w:ascii="Arial Narrow" w:hAnsi="Arial Narrow" w:cs="Calibri"/>
                <w:color w:val="000000"/>
              </w:rPr>
              <w:t>2,3</w:t>
            </w:r>
          </w:p>
        </w:tc>
      </w:tr>
    </w:tbl>
    <w:p w:rsidR="008F0BFC" w:rsidRDefault="008F0BFC" w:rsidP="008F0BFC">
      <w:pPr>
        <w:jc w:val="both"/>
        <w:outlineLvl w:val="0"/>
        <w:rPr>
          <w:rFonts w:ascii="Arial Narrow" w:eastAsia="Calibri" w:hAnsi="Arial Narrow"/>
          <w:b/>
          <w:lang w:eastAsia="en-US"/>
        </w:rPr>
      </w:pPr>
    </w:p>
    <w:p w:rsidR="008F0BFC" w:rsidRPr="00DA5E33" w:rsidRDefault="008F0BFC" w:rsidP="00374966">
      <w:pPr>
        <w:ind w:left="-284" w:firstLine="284"/>
        <w:jc w:val="both"/>
        <w:outlineLvl w:val="0"/>
        <w:rPr>
          <w:rFonts w:ascii="Arial Narrow" w:eastAsia="Calibri" w:hAnsi="Arial Narrow"/>
          <w:b/>
          <w:lang w:eastAsia="en-US"/>
        </w:rPr>
      </w:pPr>
      <w:r w:rsidRPr="00DA5E33">
        <w:rPr>
          <w:rFonts w:ascii="Arial Narrow" w:eastAsia="Calibri" w:hAnsi="Arial Narrow"/>
          <w:b/>
          <w:lang w:eastAsia="en-US"/>
        </w:rPr>
        <w:t xml:space="preserve">*X: </w:t>
      </w:r>
      <w:r w:rsidRPr="00DA5E33">
        <w:rPr>
          <w:rFonts w:ascii="Arial Narrow" w:eastAsia="Calibri" w:hAnsi="Arial Narrow"/>
          <w:lang w:eastAsia="en-US"/>
        </w:rPr>
        <w:t>Media</w:t>
      </w:r>
    </w:p>
    <w:p w:rsidR="008F0BFC" w:rsidRPr="00DA5E33" w:rsidRDefault="008F0BFC" w:rsidP="00374966">
      <w:pPr>
        <w:ind w:left="-284" w:firstLine="284"/>
        <w:jc w:val="both"/>
        <w:outlineLvl w:val="0"/>
        <w:rPr>
          <w:rFonts w:ascii="Arial Narrow" w:eastAsia="Calibri" w:hAnsi="Arial Narrow"/>
          <w:b/>
          <w:lang w:eastAsia="en-US"/>
        </w:rPr>
      </w:pPr>
      <w:r w:rsidRPr="00DA5E33">
        <w:rPr>
          <w:rFonts w:ascii="Arial Narrow" w:eastAsia="Calibri" w:hAnsi="Arial Narrow"/>
          <w:b/>
          <w:lang w:eastAsia="en-US"/>
        </w:rPr>
        <w:t xml:space="preserve">*Me: </w:t>
      </w:r>
      <w:r w:rsidRPr="00DA5E33">
        <w:rPr>
          <w:rFonts w:ascii="Arial Narrow" w:eastAsia="Calibri" w:hAnsi="Arial Narrow"/>
          <w:lang w:eastAsia="en-US"/>
        </w:rPr>
        <w:t>Mediana</w:t>
      </w:r>
    </w:p>
    <w:p w:rsidR="008F0BFC" w:rsidRPr="00DA5E33" w:rsidRDefault="008F0BFC" w:rsidP="00374966">
      <w:pPr>
        <w:ind w:left="-284" w:firstLine="284"/>
        <w:jc w:val="both"/>
        <w:outlineLvl w:val="0"/>
        <w:rPr>
          <w:rFonts w:ascii="Arial Narrow" w:eastAsia="Calibri" w:hAnsi="Arial Narrow"/>
          <w:b/>
          <w:lang w:eastAsia="en-US"/>
        </w:rPr>
      </w:pPr>
      <w:r w:rsidRPr="00DA5E33">
        <w:rPr>
          <w:rFonts w:ascii="Arial Narrow" w:eastAsia="Calibri" w:hAnsi="Arial Narrow"/>
          <w:b/>
          <w:lang w:eastAsia="en-US"/>
        </w:rPr>
        <w:t xml:space="preserve">*RI: </w:t>
      </w:r>
      <w:r w:rsidRPr="00DA5E33">
        <w:rPr>
          <w:rFonts w:ascii="Arial Narrow" w:eastAsia="Calibri" w:hAnsi="Arial Narrow"/>
          <w:lang w:eastAsia="en-US"/>
        </w:rPr>
        <w:t xml:space="preserve">Rango </w:t>
      </w:r>
      <w:proofErr w:type="spellStart"/>
      <w:r w:rsidRPr="00DA5E33">
        <w:rPr>
          <w:rFonts w:ascii="Arial Narrow" w:eastAsia="Calibri" w:hAnsi="Arial Narrow"/>
          <w:lang w:eastAsia="en-US"/>
        </w:rPr>
        <w:t>intercuartílico</w:t>
      </w:r>
      <w:proofErr w:type="spellEnd"/>
    </w:p>
    <w:p w:rsidR="008F0BFC" w:rsidRPr="00DA5E33" w:rsidRDefault="008F0BFC" w:rsidP="00374966">
      <w:pPr>
        <w:ind w:left="-284" w:firstLine="284"/>
        <w:jc w:val="both"/>
        <w:outlineLvl w:val="0"/>
        <w:rPr>
          <w:rFonts w:ascii="Arial Narrow" w:eastAsia="Calibri" w:hAnsi="Arial Narrow"/>
          <w:lang w:eastAsia="en-US"/>
        </w:rPr>
      </w:pPr>
      <w:r w:rsidRPr="00DA5E33">
        <w:rPr>
          <w:rFonts w:ascii="Arial Narrow" w:eastAsia="Calibri" w:hAnsi="Arial Narrow"/>
          <w:b/>
          <w:lang w:eastAsia="en-US"/>
        </w:rPr>
        <w:t xml:space="preserve">*% fuera de Me: </w:t>
      </w:r>
      <w:r w:rsidRPr="00DA5E33">
        <w:rPr>
          <w:rFonts w:ascii="Arial Narrow" w:eastAsia="Calibri" w:hAnsi="Arial Narrow"/>
          <w:lang w:eastAsia="en-US"/>
        </w:rPr>
        <w:t xml:space="preserve">Porcentaje </w:t>
      </w:r>
      <w:r>
        <w:rPr>
          <w:rFonts w:ascii="Arial Narrow" w:eastAsia="Calibri" w:hAnsi="Arial Narrow"/>
          <w:lang w:eastAsia="en-US"/>
        </w:rPr>
        <w:t xml:space="preserve">de encuestados </w:t>
      </w:r>
      <w:r w:rsidRPr="00DA5E33">
        <w:rPr>
          <w:rFonts w:ascii="Arial Narrow" w:eastAsia="Calibri" w:hAnsi="Arial Narrow"/>
          <w:lang w:eastAsia="en-US"/>
        </w:rPr>
        <w:t>fuera de la</w:t>
      </w:r>
      <w:r>
        <w:rPr>
          <w:rFonts w:ascii="Arial Narrow" w:eastAsia="Calibri" w:hAnsi="Arial Narrow"/>
          <w:lang w:eastAsia="en-US"/>
        </w:rPr>
        <w:t xml:space="preserve"> región que incluye la </w:t>
      </w:r>
      <w:r w:rsidRPr="00DA5E33">
        <w:rPr>
          <w:rFonts w:ascii="Arial Narrow" w:eastAsia="Calibri" w:hAnsi="Arial Narrow"/>
          <w:lang w:eastAsia="en-US"/>
        </w:rPr>
        <w:t>mediana</w:t>
      </w:r>
    </w:p>
    <w:p w:rsidR="008F0BFC" w:rsidRDefault="008F0BFC" w:rsidP="008F0BFC">
      <w:pPr>
        <w:jc w:val="both"/>
        <w:outlineLvl w:val="0"/>
        <w:rPr>
          <w:rFonts w:ascii="Arial Narrow" w:eastAsia="Calibri" w:hAnsi="Arial Narrow"/>
          <w:lang w:eastAsia="en-US"/>
        </w:rPr>
      </w:pPr>
    </w:p>
    <w:p w:rsidR="008F0BFC" w:rsidRDefault="008F0BFC" w:rsidP="008F0BFC">
      <w:pPr>
        <w:jc w:val="both"/>
        <w:outlineLvl w:val="0"/>
        <w:rPr>
          <w:rFonts w:ascii="Arial Narrow" w:eastAsia="Calibri" w:hAnsi="Arial Narrow"/>
          <w:lang w:eastAsia="en-US"/>
        </w:rPr>
      </w:pPr>
    </w:p>
    <w:p w:rsidR="008F0BFC" w:rsidRDefault="008F0BFC" w:rsidP="008F0BFC">
      <w:pPr>
        <w:jc w:val="both"/>
        <w:outlineLvl w:val="0"/>
        <w:rPr>
          <w:rFonts w:ascii="Arial Narrow" w:eastAsia="Calibri" w:hAnsi="Arial Narrow"/>
          <w:lang w:eastAsia="en-US"/>
        </w:rPr>
      </w:pPr>
    </w:p>
    <w:p w:rsidR="008F0BFC" w:rsidRDefault="008F0BFC" w:rsidP="008F0BFC">
      <w:pPr>
        <w:jc w:val="both"/>
        <w:outlineLvl w:val="0"/>
        <w:rPr>
          <w:rFonts w:ascii="Arial Narrow" w:eastAsia="Calibri" w:hAnsi="Arial Narrow"/>
          <w:lang w:eastAsia="en-US"/>
        </w:rPr>
      </w:pPr>
    </w:p>
    <w:p w:rsidR="00254206" w:rsidRDefault="00254206" w:rsidP="008F0BFC"/>
    <w:sectPr w:rsidR="00254206" w:rsidSect="00FF29ED">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0BA4" w:rsidRDefault="00A00BA4" w:rsidP="00A00BA4">
      <w:r>
        <w:separator/>
      </w:r>
    </w:p>
  </w:endnote>
  <w:endnote w:type="continuationSeparator" w:id="0">
    <w:p w:rsidR="00A00BA4" w:rsidRDefault="00A00BA4" w:rsidP="00A00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EPFDC A+ Century Std">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0BA4" w:rsidRDefault="00A00BA4" w:rsidP="00A00BA4">
      <w:r>
        <w:separator/>
      </w:r>
    </w:p>
  </w:footnote>
  <w:footnote w:type="continuationSeparator" w:id="0">
    <w:p w:rsidR="00A00BA4" w:rsidRDefault="00A00BA4" w:rsidP="00A00B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0BA4" w:rsidRDefault="00A00BA4" w:rsidP="00A00BA4">
    <w:pPr>
      <w:tabs>
        <w:tab w:val="center" w:pos="4252"/>
        <w:tab w:val="right" w:pos="8504"/>
      </w:tabs>
      <w:jc w:val="both"/>
      <w:rPr>
        <w:rFonts w:ascii="Arial Narrow" w:eastAsiaTheme="minorHAnsi" w:hAnsi="Arial Narrow" w:cstheme="minorBidi"/>
        <w:b/>
        <w:sz w:val="36"/>
        <w:szCs w:val="36"/>
        <w:lang w:eastAsia="en-US"/>
      </w:rPr>
    </w:pPr>
  </w:p>
  <w:p w:rsidR="00A00BA4" w:rsidRPr="00A00BA4" w:rsidRDefault="00A00BA4" w:rsidP="00A00BA4">
    <w:pPr>
      <w:tabs>
        <w:tab w:val="center" w:pos="4252"/>
        <w:tab w:val="right" w:pos="8504"/>
      </w:tabs>
      <w:jc w:val="both"/>
      <w:rPr>
        <w:rFonts w:ascii="Arial Narrow" w:eastAsiaTheme="minorHAnsi" w:hAnsi="Arial Narrow" w:cstheme="minorBidi"/>
        <w:b/>
        <w:sz w:val="36"/>
        <w:szCs w:val="36"/>
        <w:lang w:eastAsia="en-US"/>
      </w:rPr>
    </w:pPr>
    <w:r w:rsidRPr="00A00BA4">
      <w:rPr>
        <w:rFonts w:ascii="Arial Narrow" w:eastAsiaTheme="minorHAnsi" w:hAnsi="Arial Narrow" w:cstheme="minorBidi"/>
        <w:b/>
        <w:sz w:val="36"/>
        <w:szCs w:val="36"/>
        <w:lang w:eastAsia="en-US"/>
      </w:rPr>
      <w:t>CORE CURRICULUM DE COMPETENCIAS COMUNICACIONALES PARA ESTUDIANTES DE GRADO EN MEDICINA</w:t>
    </w:r>
  </w:p>
  <w:p w:rsidR="00A00BA4" w:rsidRDefault="00A00BA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7128A"/>
    <w:multiLevelType w:val="hybridMultilevel"/>
    <w:tmpl w:val="7BC6FE12"/>
    <w:lvl w:ilvl="0" w:tplc="DBFE2DB2">
      <w:start w:val="37"/>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036B4801"/>
    <w:multiLevelType w:val="hybridMultilevel"/>
    <w:tmpl w:val="4824F264"/>
    <w:lvl w:ilvl="0" w:tplc="9308321C">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 w15:restartNumberingAfterBreak="0">
    <w:nsid w:val="03FE4E5B"/>
    <w:multiLevelType w:val="hybridMultilevel"/>
    <w:tmpl w:val="5D6C95EE"/>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0521738D"/>
    <w:multiLevelType w:val="hybridMultilevel"/>
    <w:tmpl w:val="671E63D4"/>
    <w:lvl w:ilvl="0" w:tplc="7362077A">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0596744E"/>
    <w:multiLevelType w:val="hybridMultilevel"/>
    <w:tmpl w:val="2EE220D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81D65DE"/>
    <w:multiLevelType w:val="hybridMultilevel"/>
    <w:tmpl w:val="883CDD78"/>
    <w:lvl w:ilvl="0" w:tplc="2ED02D00">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8752CE4"/>
    <w:multiLevelType w:val="hybridMultilevel"/>
    <w:tmpl w:val="AB428BF2"/>
    <w:lvl w:ilvl="0" w:tplc="E53E06D8">
      <w:start w:val="1"/>
      <w:numFmt w:val="bullet"/>
      <w:lvlText w:val="–"/>
      <w:lvlJc w:val="left"/>
      <w:pPr>
        <w:ind w:left="1701" w:hanging="360"/>
      </w:pPr>
      <w:rPr>
        <w:rFonts w:ascii="Verdana" w:hAnsi="Verdana" w:hint="default"/>
      </w:rPr>
    </w:lvl>
    <w:lvl w:ilvl="1" w:tplc="0C0A0003" w:tentative="1">
      <w:start w:val="1"/>
      <w:numFmt w:val="bullet"/>
      <w:lvlText w:val="o"/>
      <w:lvlJc w:val="left"/>
      <w:pPr>
        <w:ind w:left="2421" w:hanging="360"/>
      </w:pPr>
      <w:rPr>
        <w:rFonts w:ascii="Courier New" w:hAnsi="Courier New" w:cs="Courier New" w:hint="default"/>
      </w:rPr>
    </w:lvl>
    <w:lvl w:ilvl="2" w:tplc="0C0A0005" w:tentative="1">
      <w:start w:val="1"/>
      <w:numFmt w:val="bullet"/>
      <w:lvlText w:val=""/>
      <w:lvlJc w:val="left"/>
      <w:pPr>
        <w:ind w:left="3141" w:hanging="360"/>
      </w:pPr>
      <w:rPr>
        <w:rFonts w:ascii="Wingdings" w:hAnsi="Wingdings" w:hint="default"/>
      </w:rPr>
    </w:lvl>
    <w:lvl w:ilvl="3" w:tplc="0C0A0001" w:tentative="1">
      <w:start w:val="1"/>
      <w:numFmt w:val="bullet"/>
      <w:lvlText w:val=""/>
      <w:lvlJc w:val="left"/>
      <w:pPr>
        <w:ind w:left="3861" w:hanging="360"/>
      </w:pPr>
      <w:rPr>
        <w:rFonts w:ascii="Symbol" w:hAnsi="Symbol" w:hint="default"/>
      </w:rPr>
    </w:lvl>
    <w:lvl w:ilvl="4" w:tplc="0C0A0003" w:tentative="1">
      <w:start w:val="1"/>
      <w:numFmt w:val="bullet"/>
      <w:lvlText w:val="o"/>
      <w:lvlJc w:val="left"/>
      <w:pPr>
        <w:ind w:left="4581" w:hanging="360"/>
      </w:pPr>
      <w:rPr>
        <w:rFonts w:ascii="Courier New" w:hAnsi="Courier New" w:cs="Courier New" w:hint="default"/>
      </w:rPr>
    </w:lvl>
    <w:lvl w:ilvl="5" w:tplc="0C0A0005" w:tentative="1">
      <w:start w:val="1"/>
      <w:numFmt w:val="bullet"/>
      <w:lvlText w:val=""/>
      <w:lvlJc w:val="left"/>
      <w:pPr>
        <w:ind w:left="5301" w:hanging="360"/>
      </w:pPr>
      <w:rPr>
        <w:rFonts w:ascii="Wingdings" w:hAnsi="Wingdings" w:hint="default"/>
      </w:rPr>
    </w:lvl>
    <w:lvl w:ilvl="6" w:tplc="0C0A0001" w:tentative="1">
      <w:start w:val="1"/>
      <w:numFmt w:val="bullet"/>
      <w:lvlText w:val=""/>
      <w:lvlJc w:val="left"/>
      <w:pPr>
        <w:ind w:left="6021" w:hanging="360"/>
      </w:pPr>
      <w:rPr>
        <w:rFonts w:ascii="Symbol" w:hAnsi="Symbol" w:hint="default"/>
      </w:rPr>
    </w:lvl>
    <w:lvl w:ilvl="7" w:tplc="0C0A0003" w:tentative="1">
      <w:start w:val="1"/>
      <w:numFmt w:val="bullet"/>
      <w:lvlText w:val="o"/>
      <w:lvlJc w:val="left"/>
      <w:pPr>
        <w:ind w:left="6741" w:hanging="360"/>
      </w:pPr>
      <w:rPr>
        <w:rFonts w:ascii="Courier New" w:hAnsi="Courier New" w:cs="Courier New" w:hint="default"/>
      </w:rPr>
    </w:lvl>
    <w:lvl w:ilvl="8" w:tplc="0C0A0005" w:tentative="1">
      <w:start w:val="1"/>
      <w:numFmt w:val="bullet"/>
      <w:lvlText w:val=""/>
      <w:lvlJc w:val="left"/>
      <w:pPr>
        <w:ind w:left="7461" w:hanging="360"/>
      </w:pPr>
      <w:rPr>
        <w:rFonts w:ascii="Wingdings" w:hAnsi="Wingdings" w:hint="default"/>
      </w:rPr>
    </w:lvl>
  </w:abstractNum>
  <w:abstractNum w:abstractNumId="7" w15:restartNumberingAfterBreak="0">
    <w:nsid w:val="097C7CCA"/>
    <w:multiLevelType w:val="hybridMultilevel"/>
    <w:tmpl w:val="2E641E7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E3E05D8"/>
    <w:multiLevelType w:val="hybridMultilevel"/>
    <w:tmpl w:val="E632ABA2"/>
    <w:lvl w:ilvl="0" w:tplc="0478C89E">
      <w:numFmt w:val="bullet"/>
      <w:lvlText w:val="-"/>
      <w:lvlJc w:val="left"/>
      <w:pPr>
        <w:ind w:left="720" w:hanging="360"/>
      </w:pPr>
      <w:rPr>
        <w:rFonts w:ascii="Verdana" w:eastAsia="Times New Roman" w:hAnsi="Verdana" w:cs="Helvetic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13F6455"/>
    <w:multiLevelType w:val="hybridMultilevel"/>
    <w:tmpl w:val="A664E168"/>
    <w:lvl w:ilvl="0" w:tplc="9308321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2906151"/>
    <w:multiLevelType w:val="hybridMultilevel"/>
    <w:tmpl w:val="5500784E"/>
    <w:lvl w:ilvl="0" w:tplc="0C0A0015">
      <w:start w:val="1"/>
      <w:numFmt w:val="upperLetter"/>
      <w:lvlText w:val="%1."/>
      <w:lvlJc w:val="left"/>
      <w:pPr>
        <w:ind w:left="1808" w:hanging="360"/>
      </w:pPr>
    </w:lvl>
    <w:lvl w:ilvl="1" w:tplc="0C0A0003">
      <w:start w:val="1"/>
      <w:numFmt w:val="decimal"/>
      <w:lvlText w:val="%2."/>
      <w:lvlJc w:val="left"/>
      <w:pPr>
        <w:tabs>
          <w:tab w:val="num" w:pos="1808"/>
        </w:tabs>
        <w:ind w:left="1808" w:hanging="360"/>
      </w:pPr>
    </w:lvl>
    <w:lvl w:ilvl="2" w:tplc="0C0A0005">
      <w:start w:val="1"/>
      <w:numFmt w:val="decimal"/>
      <w:lvlText w:val="%3."/>
      <w:lvlJc w:val="left"/>
      <w:pPr>
        <w:tabs>
          <w:tab w:val="num" w:pos="2528"/>
        </w:tabs>
        <w:ind w:left="2528" w:hanging="360"/>
      </w:pPr>
    </w:lvl>
    <w:lvl w:ilvl="3" w:tplc="0C0A0001">
      <w:start w:val="1"/>
      <w:numFmt w:val="decimal"/>
      <w:lvlText w:val="%4."/>
      <w:lvlJc w:val="left"/>
      <w:pPr>
        <w:tabs>
          <w:tab w:val="num" w:pos="3248"/>
        </w:tabs>
        <w:ind w:left="3248" w:hanging="360"/>
      </w:pPr>
    </w:lvl>
    <w:lvl w:ilvl="4" w:tplc="0C0A0003">
      <w:start w:val="1"/>
      <w:numFmt w:val="decimal"/>
      <w:lvlText w:val="%5."/>
      <w:lvlJc w:val="left"/>
      <w:pPr>
        <w:tabs>
          <w:tab w:val="num" w:pos="3968"/>
        </w:tabs>
        <w:ind w:left="3968" w:hanging="360"/>
      </w:pPr>
    </w:lvl>
    <w:lvl w:ilvl="5" w:tplc="0C0A0005">
      <w:start w:val="1"/>
      <w:numFmt w:val="decimal"/>
      <w:lvlText w:val="%6."/>
      <w:lvlJc w:val="left"/>
      <w:pPr>
        <w:tabs>
          <w:tab w:val="num" w:pos="4688"/>
        </w:tabs>
        <w:ind w:left="4688" w:hanging="360"/>
      </w:pPr>
    </w:lvl>
    <w:lvl w:ilvl="6" w:tplc="0C0A0001">
      <w:start w:val="1"/>
      <w:numFmt w:val="decimal"/>
      <w:lvlText w:val="%7."/>
      <w:lvlJc w:val="left"/>
      <w:pPr>
        <w:tabs>
          <w:tab w:val="num" w:pos="5408"/>
        </w:tabs>
        <w:ind w:left="5408" w:hanging="360"/>
      </w:pPr>
    </w:lvl>
    <w:lvl w:ilvl="7" w:tplc="0C0A0003">
      <w:start w:val="1"/>
      <w:numFmt w:val="decimal"/>
      <w:lvlText w:val="%8."/>
      <w:lvlJc w:val="left"/>
      <w:pPr>
        <w:tabs>
          <w:tab w:val="num" w:pos="6128"/>
        </w:tabs>
        <w:ind w:left="6128" w:hanging="360"/>
      </w:pPr>
    </w:lvl>
    <w:lvl w:ilvl="8" w:tplc="0C0A0005">
      <w:start w:val="1"/>
      <w:numFmt w:val="decimal"/>
      <w:lvlText w:val="%9."/>
      <w:lvlJc w:val="left"/>
      <w:pPr>
        <w:tabs>
          <w:tab w:val="num" w:pos="6848"/>
        </w:tabs>
        <w:ind w:left="6848" w:hanging="360"/>
      </w:pPr>
    </w:lvl>
  </w:abstractNum>
  <w:abstractNum w:abstractNumId="11" w15:restartNumberingAfterBreak="0">
    <w:nsid w:val="14CF04DE"/>
    <w:multiLevelType w:val="hybridMultilevel"/>
    <w:tmpl w:val="D272DAEA"/>
    <w:lvl w:ilvl="0" w:tplc="2ED02D00">
      <w:start w:val="1"/>
      <w:numFmt w:val="upperLetter"/>
      <w:lvlText w:val="%1)"/>
      <w:lvlJc w:val="left"/>
      <w:pPr>
        <w:ind w:left="480" w:hanging="360"/>
      </w:pPr>
      <w:rPr>
        <w:rFonts w:hint="default"/>
      </w:rPr>
    </w:lvl>
    <w:lvl w:ilvl="1" w:tplc="040A0019" w:tentative="1">
      <w:start w:val="1"/>
      <w:numFmt w:val="lowerLetter"/>
      <w:lvlText w:val="%2."/>
      <w:lvlJc w:val="left"/>
      <w:pPr>
        <w:ind w:left="1200" w:hanging="360"/>
      </w:pPr>
    </w:lvl>
    <w:lvl w:ilvl="2" w:tplc="040A001B" w:tentative="1">
      <w:start w:val="1"/>
      <w:numFmt w:val="lowerRoman"/>
      <w:lvlText w:val="%3."/>
      <w:lvlJc w:val="right"/>
      <w:pPr>
        <w:ind w:left="1920" w:hanging="180"/>
      </w:pPr>
    </w:lvl>
    <w:lvl w:ilvl="3" w:tplc="040A000F" w:tentative="1">
      <w:start w:val="1"/>
      <w:numFmt w:val="decimal"/>
      <w:lvlText w:val="%4."/>
      <w:lvlJc w:val="left"/>
      <w:pPr>
        <w:ind w:left="2640" w:hanging="360"/>
      </w:pPr>
    </w:lvl>
    <w:lvl w:ilvl="4" w:tplc="040A0019" w:tentative="1">
      <w:start w:val="1"/>
      <w:numFmt w:val="lowerLetter"/>
      <w:lvlText w:val="%5."/>
      <w:lvlJc w:val="left"/>
      <w:pPr>
        <w:ind w:left="3360" w:hanging="360"/>
      </w:pPr>
    </w:lvl>
    <w:lvl w:ilvl="5" w:tplc="040A001B" w:tentative="1">
      <w:start w:val="1"/>
      <w:numFmt w:val="lowerRoman"/>
      <w:lvlText w:val="%6."/>
      <w:lvlJc w:val="right"/>
      <w:pPr>
        <w:ind w:left="4080" w:hanging="180"/>
      </w:pPr>
    </w:lvl>
    <w:lvl w:ilvl="6" w:tplc="040A000F" w:tentative="1">
      <w:start w:val="1"/>
      <w:numFmt w:val="decimal"/>
      <w:lvlText w:val="%7."/>
      <w:lvlJc w:val="left"/>
      <w:pPr>
        <w:ind w:left="4800" w:hanging="360"/>
      </w:pPr>
    </w:lvl>
    <w:lvl w:ilvl="7" w:tplc="040A0019" w:tentative="1">
      <w:start w:val="1"/>
      <w:numFmt w:val="lowerLetter"/>
      <w:lvlText w:val="%8."/>
      <w:lvlJc w:val="left"/>
      <w:pPr>
        <w:ind w:left="5520" w:hanging="360"/>
      </w:pPr>
    </w:lvl>
    <w:lvl w:ilvl="8" w:tplc="040A001B" w:tentative="1">
      <w:start w:val="1"/>
      <w:numFmt w:val="lowerRoman"/>
      <w:lvlText w:val="%9."/>
      <w:lvlJc w:val="right"/>
      <w:pPr>
        <w:ind w:left="6240" w:hanging="180"/>
      </w:pPr>
    </w:lvl>
  </w:abstractNum>
  <w:abstractNum w:abstractNumId="12" w15:restartNumberingAfterBreak="0">
    <w:nsid w:val="16B25327"/>
    <w:multiLevelType w:val="hybridMultilevel"/>
    <w:tmpl w:val="734CAF5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170131EE"/>
    <w:multiLevelType w:val="hybridMultilevel"/>
    <w:tmpl w:val="72045D54"/>
    <w:lvl w:ilvl="0" w:tplc="954E6B4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72C36AD"/>
    <w:multiLevelType w:val="hybridMultilevel"/>
    <w:tmpl w:val="D084F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A626517"/>
    <w:multiLevelType w:val="hybridMultilevel"/>
    <w:tmpl w:val="C4E2CD88"/>
    <w:lvl w:ilvl="0" w:tplc="9308321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E89299C"/>
    <w:multiLevelType w:val="hybridMultilevel"/>
    <w:tmpl w:val="64B4D9BC"/>
    <w:lvl w:ilvl="0" w:tplc="AFBAFC58">
      <w:start w:val="1"/>
      <w:numFmt w:val="decimal"/>
      <w:lvlText w:val="(%1)"/>
      <w:lvlJc w:val="left"/>
      <w:pPr>
        <w:ind w:left="833" w:hanging="720"/>
      </w:pPr>
      <w:rPr>
        <w:rFonts w:hint="default"/>
      </w:rPr>
    </w:lvl>
    <w:lvl w:ilvl="1" w:tplc="0C0A0019" w:tentative="1">
      <w:start w:val="1"/>
      <w:numFmt w:val="lowerLetter"/>
      <w:lvlText w:val="%2."/>
      <w:lvlJc w:val="left"/>
      <w:pPr>
        <w:ind w:left="1193" w:hanging="360"/>
      </w:pPr>
    </w:lvl>
    <w:lvl w:ilvl="2" w:tplc="0C0A001B" w:tentative="1">
      <w:start w:val="1"/>
      <w:numFmt w:val="lowerRoman"/>
      <w:lvlText w:val="%3."/>
      <w:lvlJc w:val="right"/>
      <w:pPr>
        <w:ind w:left="1913" w:hanging="180"/>
      </w:pPr>
    </w:lvl>
    <w:lvl w:ilvl="3" w:tplc="0C0A000F" w:tentative="1">
      <w:start w:val="1"/>
      <w:numFmt w:val="decimal"/>
      <w:lvlText w:val="%4."/>
      <w:lvlJc w:val="left"/>
      <w:pPr>
        <w:ind w:left="2633" w:hanging="360"/>
      </w:pPr>
    </w:lvl>
    <w:lvl w:ilvl="4" w:tplc="0C0A0019" w:tentative="1">
      <w:start w:val="1"/>
      <w:numFmt w:val="lowerLetter"/>
      <w:lvlText w:val="%5."/>
      <w:lvlJc w:val="left"/>
      <w:pPr>
        <w:ind w:left="3353" w:hanging="360"/>
      </w:pPr>
    </w:lvl>
    <w:lvl w:ilvl="5" w:tplc="0C0A001B" w:tentative="1">
      <w:start w:val="1"/>
      <w:numFmt w:val="lowerRoman"/>
      <w:lvlText w:val="%6."/>
      <w:lvlJc w:val="right"/>
      <w:pPr>
        <w:ind w:left="4073" w:hanging="180"/>
      </w:pPr>
    </w:lvl>
    <w:lvl w:ilvl="6" w:tplc="0C0A000F" w:tentative="1">
      <w:start w:val="1"/>
      <w:numFmt w:val="decimal"/>
      <w:lvlText w:val="%7."/>
      <w:lvlJc w:val="left"/>
      <w:pPr>
        <w:ind w:left="4793" w:hanging="360"/>
      </w:pPr>
    </w:lvl>
    <w:lvl w:ilvl="7" w:tplc="0C0A0019" w:tentative="1">
      <w:start w:val="1"/>
      <w:numFmt w:val="lowerLetter"/>
      <w:lvlText w:val="%8."/>
      <w:lvlJc w:val="left"/>
      <w:pPr>
        <w:ind w:left="5513" w:hanging="360"/>
      </w:pPr>
    </w:lvl>
    <w:lvl w:ilvl="8" w:tplc="0C0A001B" w:tentative="1">
      <w:start w:val="1"/>
      <w:numFmt w:val="lowerRoman"/>
      <w:lvlText w:val="%9."/>
      <w:lvlJc w:val="right"/>
      <w:pPr>
        <w:ind w:left="6233" w:hanging="180"/>
      </w:pPr>
    </w:lvl>
  </w:abstractNum>
  <w:abstractNum w:abstractNumId="17" w15:restartNumberingAfterBreak="0">
    <w:nsid w:val="220D7668"/>
    <w:multiLevelType w:val="multilevel"/>
    <w:tmpl w:val="8ED61680"/>
    <w:lvl w:ilvl="0">
      <w:start w:val="1"/>
      <w:numFmt w:val="bullet"/>
      <w:lvlText w:val="–"/>
      <w:lvlJc w:val="left"/>
      <w:pPr>
        <w:tabs>
          <w:tab w:val="num" w:pos="360"/>
        </w:tabs>
        <w:ind w:left="360" w:hanging="360"/>
      </w:pPr>
      <w:rPr>
        <w:rFonts w:ascii="Verdana" w:hAnsi="Verdana" w:hint="default"/>
        <w:sz w:val="20"/>
      </w:rPr>
    </w:lvl>
    <w:lvl w:ilvl="1">
      <w:start w:val="1"/>
      <w:numFmt w:val="bullet"/>
      <w:lvlText w:val="–"/>
      <w:lvlJc w:val="left"/>
      <w:pPr>
        <w:tabs>
          <w:tab w:val="num" w:pos="1080"/>
        </w:tabs>
        <w:ind w:left="1080" w:hanging="360"/>
      </w:pPr>
      <w:rPr>
        <w:rFonts w:ascii="Verdana" w:hAnsi="Verdana"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8" w15:restartNumberingAfterBreak="0">
    <w:nsid w:val="2A843306"/>
    <w:multiLevelType w:val="multilevel"/>
    <w:tmpl w:val="0C0A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AD02A1D"/>
    <w:multiLevelType w:val="hybridMultilevel"/>
    <w:tmpl w:val="CDDC2438"/>
    <w:lvl w:ilvl="0" w:tplc="F6362242">
      <w:numFmt w:val="bullet"/>
      <w:lvlText w:val="-"/>
      <w:lvlJc w:val="left"/>
      <w:pPr>
        <w:ind w:left="720" w:hanging="360"/>
      </w:pPr>
      <w:rPr>
        <w:rFonts w:ascii="Calibri" w:eastAsia="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2E1A539D"/>
    <w:multiLevelType w:val="hybridMultilevel"/>
    <w:tmpl w:val="D00031B8"/>
    <w:lvl w:ilvl="0" w:tplc="34DE8476">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1" w15:restartNumberingAfterBreak="0">
    <w:nsid w:val="31B11FCA"/>
    <w:multiLevelType w:val="hybridMultilevel"/>
    <w:tmpl w:val="5C5EF630"/>
    <w:lvl w:ilvl="0" w:tplc="27C4DA2C">
      <w:start w:val="1"/>
      <w:numFmt w:val="decimal"/>
      <w:lvlText w:val="%1."/>
      <w:lvlJc w:val="left"/>
      <w:pPr>
        <w:tabs>
          <w:tab w:val="num" w:pos="360"/>
        </w:tabs>
        <w:ind w:left="360" w:hanging="360"/>
      </w:pPr>
    </w:lvl>
    <w:lvl w:ilvl="1" w:tplc="8D66FE3A">
      <w:start w:val="1"/>
      <w:numFmt w:val="decimal"/>
      <w:lvlText w:val="%2."/>
      <w:lvlJc w:val="left"/>
      <w:pPr>
        <w:tabs>
          <w:tab w:val="num" w:pos="1080"/>
        </w:tabs>
        <w:ind w:left="1080" w:hanging="360"/>
      </w:pPr>
    </w:lvl>
    <w:lvl w:ilvl="2" w:tplc="8230014E" w:tentative="1">
      <w:start w:val="1"/>
      <w:numFmt w:val="decimal"/>
      <w:lvlText w:val="%3."/>
      <w:lvlJc w:val="left"/>
      <w:pPr>
        <w:tabs>
          <w:tab w:val="num" w:pos="1800"/>
        </w:tabs>
        <w:ind w:left="1800" w:hanging="360"/>
      </w:pPr>
    </w:lvl>
    <w:lvl w:ilvl="3" w:tplc="810A0400" w:tentative="1">
      <w:start w:val="1"/>
      <w:numFmt w:val="decimal"/>
      <w:lvlText w:val="%4."/>
      <w:lvlJc w:val="left"/>
      <w:pPr>
        <w:tabs>
          <w:tab w:val="num" w:pos="2520"/>
        </w:tabs>
        <w:ind w:left="2520" w:hanging="360"/>
      </w:pPr>
    </w:lvl>
    <w:lvl w:ilvl="4" w:tplc="E1169A6E" w:tentative="1">
      <w:start w:val="1"/>
      <w:numFmt w:val="decimal"/>
      <w:lvlText w:val="%5."/>
      <w:lvlJc w:val="left"/>
      <w:pPr>
        <w:tabs>
          <w:tab w:val="num" w:pos="3240"/>
        </w:tabs>
        <w:ind w:left="3240" w:hanging="360"/>
      </w:pPr>
    </w:lvl>
    <w:lvl w:ilvl="5" w:tplc="DDD6EA5E" w:tentative="1">
      <w:start w:val="1"/>
      <w:numFmt w:val="decimal"/>
      <w:lvlText w:val="%6."/>
      <w:lvlJc w:val="left"/>
      <w:pPr>
        <w:tabs>
          <w:tab w:val="num" w:pos="3960"/>
        </w:tabs>
        <w:ind w:left="3960" w:hanging="360"/>
      </w:pPr>
    </w:lvl>
    <w:lvl w:ilvl="6" w:tplc="DD34D750" w:tentative="1">
      <w:start w:val="1"/>
      <w:numFmt w:val="decimal"/>
      <w:lvlText w:val="%7."/>
      <w:lvlJc w:val="left"/>
      <w:pPr>
        <w:tabs>
          <w:tab w:val="num" w:pos="4680"/>
        </w:tabs>
        <w:ind w:left="4680" w:hanging="360"/>
      </w:pPr>
    </w:lvl>
    <w:lvl w:ilvl="7" w:tplc="CE68FDDA" w:tentative="1">
      <w:start w:val="1"/>
      <w:numFmt w:val="decimal"/>
      <w:lvlText w:val="%8."/>
      <w:lvlJc w:val="left"/>
      <w:pPr>
        <w:tabs>
          <w:tab w:val="num" w:pos="5400"/>
        </w:tabs>
        <w:ind w:left="5400" w:hanging="360"/>
      </w:pPr>
    </w:lvl>
    <w:lvl w:ilvl="8" w:tplc="56C422C8" w:tentative="1">
      <w:start w:val="1"/>
      <w:numFmt w:val="decimal"/>
      <w:lvlText w:val="%9."/>
      <w:lvlJc w:val="left"/>
      <w:pPr>
        <w:tabs>
          <w:tab w:val="num" w:pos="6120"/>
        </w:tabs>
        <w:ind w:left="6120" w:hanging="360"/>
      </w:pPr>
    </w:lvl>
  </w:abstractNum>
  <w:abstractNum w:abstractNumId="22" w15:restartNumberingAfterBreak="0">
    <w:nsid w:val="343B0305"/>
    <w:multiLevelType w:val="multilevel"/>
    <w:tmpl w:val="D35879C2"/>
    <w:lvl w:ilvl="0">
      <w:start w:val="1"/>
      <w:numFmt w:val="decimal"/>
      <w:lvlText w:val="%1."/>
      <w:lvlJc w:val="left"/>
      <w:pPr>
        <w:tabs>
          <w:tab w:val="num" w:pos="567"/>
        </w:tabs>
        <w:ind w:left="113" w:hanging="113"/>
      </w:pPr>
      <w:rPr>
        <w:rFonts w:hint="default"/>
        <w:spacing w:val="0"/>
      </w:rPr>
    </w:lvl>
    <w:lvl w:ilvl="1">
      <w:start w:val="1"/>
      <w:numFmt w:val="decimal"/>
      <w:isLgl/>
      <w:lvlText w:val="%1.%2."/>
      <w:lvlJc w:val="left"/>
      <w:pPr>
        <w:tabs>
          <w:tab w:val="num" w:pos="567"/>
        </w:tabs>
        <w:ind w:left="113" w:hanging="113"/>
      </w:pPr>
      <w:rPr>
        <w:rFonts w:hint="default"/>
      </w:rPr>
    </w:lvl>
    <w:lvl w:ilvl="2">
      <w:start w:val="1"/>
      <w:numFmt w:val="decimal"/>
      <w:isLgl/>
      <w:lvlText w:val="%1.%2.%3."/>
      <w:lvlJc w:val="left"/>
      <w:pPr>
        <w:tabs>
          <w:tab w:val="num" w:pos="567"/>
        </w:tabs>
        <w:ind w:left="113" w:hanging="113"/>
      </w:pPr>
      <w:rPr>
        <w:rFonts w:hint="default"/>
      </w:rPr>
    </w:lvl>
    <w:lvl w:ilvl="3">
      <w:start w:val="1"/>
      <w:numFmt w:val="decimal"/>
      <w:isLgl/>
      <w:lvlText w:val="%1.%2.%3.%4."/>
      <w:lvlJc w:val="left"/>
      <w:pPr>
        <w:tabs>
          <w:tab w:val="num" w:pos="567"/>
        </w:tabs>
        <w:ind w:left="113" w:hanging="113"/>
      </w:pPr>
      <w:rPr>
        <w:rFonts w:hint="default"/>
      </w:rPr>
    </w:lvl>
    <w:lvl w:ilvl="4">
      <w:start w:val="1"/>
      <w:numFmt w:val="decimal"/>
      <w:isLgl/>
      <w:lvlText w:val="%1.%2.%3.%4.%5."/>
      <w:lvlJc w:val="left"/>
      <w:pPr>
        <w:tabs>
          <w:tab w:val="num" w:pos="567"/>
        </w:tabs>
        <w:ind w:left="113" w:hanging="113"/>
      </w:pPr>
      <w:rPr>
        <w:rFonts w:hint="default"/>
      </w:rPr>
    </w:lvl>
    <w:lvl w:ilvl="5">
      <w:start w:val="1"/>
      <w:numFmt w:val="decimal"/>
      <w:isLgl/>
      <w:lvlText w:val="%1.%2.%3.%4.%5.%6."/>
      <w:lvlJc w:val="left"/>
      <w:pPr>
        <w:tabs>
          <w:tab w:val="num" w:pos="567"/>
        </w:tabs>
        <w:ind w:left="113" w:hanging="113"/>
      </w:pPr>
      <w:rPr>
        <w:rFonts w:hint="default"/>
      </w:rPr>
    </w:lvl>
    <w:lvl w:ilvl="6">
      <w:start w:val="1"/>
      <w:numFmt w:val="decimal"/>
      <w:isLgl/>
      <w:lvlText w:val="%1.%2.%3.%4.%5.%6.%7."/>
      <w:lvlJc w:val="left"/>
      <w:pPr>
        <w:tabs>
          <w:tab w:val="num" w:pos="567"/>
        </w:tabs>
        <w:ind w:left="113" w:hanging="113"/>
      </w:pPr>
      <w:rPr>
        <w:rFonts w:hint="default"/>
      </w:rPr>
    </w:lvl>
    <w:lvl w:ilvl="7">
      <w:start w:val="1"/>
      <w:numFmt w:val="decimal"/>
      <w:isLgl/>
      <w:lvlText w:val="%1.%2.%3.%4.%5.%6.%7.%8."/>
      <w:lvlJc w:val="left"/>
      <w:pPr>
        <w:tabs>
          <w:tab w:val="num" w:pos="567"/>
        </w:tabs>
        <w:ind w:left="113" w:hanging="113"/>
      </w:pPr>
      <w:rPr>
        <w:rFonts w:hint="default"/>
      </w:rPr>
    </w:lvl>
    <w:lvl w:ilvl="8">
      <w:start w:val="1"/>
      <w:numFmt w:val="decimal"/>
      <w:isLgl/>
      <w:lvlText w:val="%1.%2.%3.%4.%5.%6.%7.%8.%9."/>
      <w:lvlJc w:val="left"/>
      <w:pPr>
        <w:tabs>
          <w:tab w:val="num" w:pos="567"/>
        </w:tabs>
        <w:ind w:left="113" w:hanging="113"/>
      </w:pPr>
      <w:rPr>
        <w:rFonts w:hint="default"/>
      </w:rPr>
    </w:lvl>
  </w:abstractNum>
  <w:abstractNum w:abstractNumId="23" w15:restartNumberingAfterBreak="0">
    <w:nsid w:val="36A4021D"/>
    <w:multiLevelType w:val="multilevel"/>
    <w:tmpl w:val="5E86D728"/>
    <w:lvl w:ilvl="0">
      <w:start w:val="1"/>
      <w:numFmt w:val="bullet"/>
      <w:lvlText w:val="–"/>
      <w:lvlJc w:val="left"/>
      <w:pPr>
        <w:tabs>
          <w:tab w:val="num" w:pos="360"/>
        </w:tabs>
        <w:ind w:left="360" w:hanging="360"/>
      </w:pPr>
      <w:rPr>
        <w:rFonts w:ascii="Verdana" w:hAnsi="Verdana"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4" w15:restartNumberingAfterBreak="0">
    <w:nsid w:val="3E212653"/>
    <w:multiLevelType w:val="multilevel"/>
    <w:tmpl w:val="0C0A001F"/>
    <w:numStyleLink w:val="111111"/>
  </w:abstractNum>
  <w:abstractNum w:abstractNumId="25" w15:restartNumberingAfterBreak="0">
    <w:nsid w:val="44E96BC0"/>
    <w:multiLevelType w:val="multilevel"/>
    <w:tmpl w:val="CB10D870"/>
    <w:lvl w:ilvl="0">
      <w:start w:val="1"/>
      <w:numFmt w:val="none"/>
      <w:pStyle w:val="Ttulo1"/>
      <w:lvlText w:val="3.1"/>
      <w:lvlJc w:val="left"/>
      <w:pPr>
        <w:tabs>
          <w:tab w:val="num" w:pos="360"/>
        </w:tabs>
        <w:ind w:left="284" w:hanging="284"/>
      </w:pPr>
      <w:rPr>
        <w:rFonts w:ascii="Arial Narrow" w:hAnsi="Arial Narrow" w:hint="default"/>
        <w:b w:val="0"/>
        <w:i w:val="0"/>
        <w:sz w:val="28"/>
      </w:r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26" w15:restartNumberingAfterBreak="0">
    <w:nsid w:val="4EE452C6"/>
    <w:multiLevelType w:val="multilevel"/>
    <w:tmpl w:val="CB5E693A"/>
    <w:lvl w:ilvl="0">
      <w:start w:val="4"/>
      <w:numFmt w:val="decimal"/>
      <w:lvlText w:val="%1."/>
      <w:lvlJc w:val="left"/>
      <w:pPr>
        <w:ind w:left="360" w:hanging="360"/>
      </w:pPr>
      <w:rPr>
        <w:rFonts w:hint="default"/>
      </w:rPr>
    </w:lvl>
    <w:lvl w:ilvl="1">
      <w:start w:val="1"/>
      <w:numFmt w:val="decimal"/>
      <w:isLgl/>
      <w:lvlText w:val="%1.%2"/>
      <w:lvlJc w:val="left"/>
      <w:pPr>
        <w:ind w:left="1230" w:hanging="720"/>
      </w:pPr>
      <w:rPr>
        <w:rFonts w:hint="default"/>
      </w:rPr>
    </w:lvl>
    <w:lvl w:ilvl="2">
      <w:start w:val="1"/>
      <w:numFmt w:val="decimal"/>
      <w:isLgl/>
      <w:lvlText w:val="%1.%2.%3"/>
      <w:lvlJc w:val="left"/>
      <w:pPr>
        <w:ind w:left="2100" w:hanging="1080"/>
      </w:pPr>
      <w:rPr>
        <w:rFonts w:hint="default"/>
      </w:rPr>
    </w:lvl>
    <w:lvl w:ilvl="3">
      <w:start w:val="1"/>
      <w:numFmt w:val="decimal"/>
      <w:isLgl/>
      <w:lvlText w:val="%1.%2.%3.%4"/>
      <w:lvlJc w:val="left"/>
      <w:pPr>
        <w:ind w:left="2970" w:hanging="1440"/>
      </w:pPr>
      <w:rPr>
        <w:rFonts w:hint="default"/>
      </w:rPr>
    </w:lvl>
    <w:lvl w:ilvl="4">
      <w:start w:val="1"/>
      <w:numFmt w:val="decimal"/>
      <w:isLgl/>
      <w:lvlText w:val="%1.%2.%3.%4.%5"/>
      <w:lvlJc w:val="left"/>
      <w:pPr>
        <w:ind w:left="3480" w:hanging="1440"/>
      </w:pPr>
      <w:rPr>
        <w:rFonts w:hint="default"/>
      </w:rPr>
    </w:lvl>
    <w:lvl w:ilvl="5">
      <w:start w:val="1"/>
      <w:numFmt w:val="decimal"/>
      <w:isLgl/>
      <w:lvlText w:val="%1.%2.%3.%4.%5.%6"/>
      <w:lvlJc w:val="left"/>
      <w:pPr>
        <w:ind w:left="4350" w:hanging="1800"/>
      </w:pPr>
      <w:rPr>
        <w:rFonts w:hint="default"/>
      </w:rPr>
    </w:lvl>
    <w:lvl w:ilvl="6">
      <w:start w:val="1"/>
      <w:numFmt w:val="decimal"/>
      <w:isLgl/>
      <w:lvlText w:val="%1.%2.%3.%4.%5.%6.%7"/>
      <w:lvlJc w:val="left"/>
      <w:pPr>
        <w:ind w:left="5220" w:hanging="2160"/>
      </w:pPr>
      <w:rPr>
        <w:rFonts w:hint="default"/>
      </w:rPr>
    </w:lvl>
    <w:lvl w:ilvl="7">
      <w:start w:val="1"/>
      <w:numFmt w:val="decimal"/>
      <w:isLgl/>
      <w:lvlText w:val="%1.%2.%3.%4.%5.%6.%7.%8"/>
      <w:lvlJc w:val="left"/>
      <w:pPr>
        <w:ind w:left="6090" w:hanging="2520"/>
      </w:pPr>
      <w:rPr>
        <w:rFonts w:hint="default"/>
      </w:rPr>
    </w:lvl>
    <w:lvl w:ilvl="8">
      <w:start w:val="1"/>
      <w:numFmt w:val="decimal"/>
      <w:isLgl/>
      <w:lvlText w:val="%1.%2.%3.%4.%5.%6.%7.%8.%9"/>
      <w:lvlJc w:val="left"/>
      <w:pPr>
        <w:ind w:left="6960" w:hanging="2880"/>
      </w:pPr>
      <w:rPr>
        <w:rFonts w:hint="default"/>
      </w:rPr>
    </w:lvl>
  </w:abstractNum>
  <w:abstractNum w:abstractNumId="27" w15:restartNumberingAfterBreak="0">
    <w:nsid w:val="4F151CDC"/>
    <w:multiLevelType w:val="hybridMultilevel"/>
    <w:tmpl w:val="35DA7E80"/>
    <w:lvl w:ilvl="0" w:tplc="304E6BAC">
      <w:start w:val="1"/>
      <w:numFmt w:val="decimal"/>
      <w:lvlText w:val="%1."/>
      <w:lvlJc w:val="left"/>
      <w:pPr>
        <w:ind w:left="720" w:hanging="360"/>
      </w:pPr>
      <w:rPr>
        <w:rFonts w:ascii="Verdana" w:eastAsia="Arial Unicode MS" w:hAnsi="Verdana" w:cs="Arial"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2A30902"/>
    <w:multiLevelType w:val="multilevel"/>
    <w:tmpl w:val="6E7061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3995629"/>
    <w:multiLevelType w:val="multilevel"/>
    <w:tmpl w:val="FD7E6B16"/>
    <w:lvl w:ilvl="0">
      <w:start w:val="1"/>
      <w:numFmt w:val="decimal"/>
      <w:lvlText w:val="%1."/>
      <w:lvlJc w:val="left"/>
      <w:pPr>
        <w:tabs>
          <w:tab w:val="num" w:pos="567"/>
        </w:tabs>
        <w:ind w:left="113" w:hanging="113"/>
      </w:pPr>
      <w:rPr>
        <w:rFonts w:hint="default"/>
        <w:spacing w:val="0"/>
      </w:rPr>
    </w:lvl>
    <w:lvl w:ilvl="1">
      <w:start w:val="1"/>
      <w:numFmt w:val="decimal"/>
      <w:isLgl/>
      <w:lvlText w:val="%1.%2."/>
      <w:lvlJc w:val="left"/>
      <w:pPr>
        <w:tabs>
          <w:tab w:val="num" w:pos="567"/>
        </w:tabs>
        <w:ind w:left="113" w:hanging="113"/>
      </w:pPr>
      <w:rPr>
        <w:rFonts w:hint="default"/>
      </w:rPr>
    </w:lvl>
    <w:lvl w:ilvl="2">
      <w:start w:val="1"/>
      <w:numFmt w:val="decimal"/>
      <w:isLgl/>
      <w:lvlText w:val="%1.%2.%3."/>
      <w:lvlJc w:val="left"/>
      <w:pPr>
        <w:tabs>
          <w:tab w:val="num" w:pos="567"/>
        </w:tabs>
        <w:ind w:left="113" w:hanging="113"/>
      </w:pPr>
      <w:rPr>
        <w:rFonts w:hint="default"/>
      </w:rPr>
    </w:lvl>
    <w:lvl w:ilvl="3">
      <w:start w:val="1"/>
      <w:numFmt w:val="decimal"/>
      <w:isLgl/>
      <w:lvlText w:val="%1.%2.%3.%4."/>
      <w:lvlJc w:val="left"/>
      <w:pPr>
        <w:tabs>
          <w:tab w:val="num" w:pos="567"/>
        </w:tabs>
        <w:ind w:left="113" w:hanging="113"/>
      </w:pPr>
      <w:rPr>
        <w:rFonts w:hint="default"/>
      </w:rPr>
    </w:lvl>
    <w:lvl w:ilvl="4">
      <w:start w:val="1"/>
      <w:numFmt w:val="decimal"/>
      <w:isLgl/>
      <w:lvlText w:val="%1.%2.%3.%4.%5."/>
      <w:lvlJc w:val="left"/>
      <w:pPr>
        <w:tabs>
          <w:tab w:val="num" w:pos="567"/>
        </w:tabs>
        <w:ind w:left="113" w:hanging="113"/>
      </w:pPr>
      <w:rPr>
        <w:rFonts w:hint="default"/>
      </w:rPr>
    </w:lvl>
    <w:lvl w:ilvl="5">
      <w:start w:val="1"/>
      <w:numFmt w:val="decimal"/>
      <w:isLgl/>
      <w:lvlText w:val="%1.%2.%3.%4.%5.%6."/>
      <w:lvlJc w:val="left"/>
      <w:pPr>
        <w:tabs>
          <w:tab w:val="num" w:pos="567"/>
        </w:tabs>
        <w:ind w:left="113" w:hanging="113"/>
      </w:pPr>
      <w:rPr>
        <w:rFonts w:hint="default"/>
      </w:rPr>
    </w:lvl>
    <w:lvl w:ilvl="6">
      <w:start w:val="1"/>
      <w:numFmt w:val="decimal"/>
      <w:isLgl/>
      <w:lvlText w:val="%1.%2.%3.%4.%5.%6.%7."/>
      <w:lvlJc w:val="left"/>
      <w:pPr>
        <w:tabs>
          <w:tab w:val="num" w:pos="567"/>
        </w:tabs>
        <w:ind w:left="113" w:hanging="113"/>
      </w:pPr>
      <w:rPr>
        <w:rFonts w:hint="default"/>
      </w:rPr>
    </w:lvl>
    <w:lvl w:ilvl="7">
      <w:start w:val="1"/>
      <w:numFmt w:val="decimal"/>
      <w:isLgl/>
      <w:lvlText w:val="%1.%2.%3.%4.%5.%6.%7.%8."/>
      <w:lvlJc w:val="left"/>
      <w:pPr>
        <w:tabs>
          <w:tab w:val="num" w:pos="567"/>
        </w:tabs>
        <w:ind w:left="113" w:hanging="113"/>
      </w:pPr>
      <w:rPr>
        <w:rFonts w:hint="default"/>
      </w:rPr>
    </w:lvl>
    <w:lvl w:ilvl="8">
      <w:start w:val="1"/>
      <w:numFmt w:val="decimal"/>
      <w:isLgl/>
      <w:lvlText w:val="%1.%2.%3.%4.%5.%6.%7.%8.%9."/>
      <w:lvlJc w:val="left"/>
      <w:pPr>
        <w:tabs>
          <w:tab w:val="num" w:pos="567"/>
        </w:tabs>
        <w:ind w:left="113" w:hanging="113"/>
      </w:pPr>
      <w:rPr>
        <w:rFonts w:hint="default"/>
      </w:rPr>
    </w:lvl>
  </w:abstractNum>
  <w:abstractNum w:abstractNumId="30" w15:restartNumberingAfterBreak="0">
    <w:nsid w:val="57203351"/>
    <w:multiLevelType w:val="hybridMultilevel"/>
    <w:tmpl w:val="BB1489C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78304BB"/>
    <w:multiLevelType w:val="hybridMultilevel"/>
    <w:tmpl w:val="B33C91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59013481"/>
    <w:multiLevelType w:val="hybridMultilevel"/>
    <w:tmpl w:val="09A0BDCA"/>
    <w:lvl w:ilvl="0" w:tplc="9308321C">
      <w:start w:val="1"/>
      <w:numFmt w:val="bullet"/>
      <w:lvlText w:val=""/>
      <w:lvlJc w:val="left"/>
      <w:pPr>
        <w:ind w:left="0" w:firstLine="0"/>
      </w:pPr>
      <w:rPr>
        <w:rFonts w:ascii="Symbol" w:hAnsi="Symbol" w:hint="default"/>
      </w:rPr>
    </w:lvl>
    <w:lvl w:ilvl="1" w:tplc="0C0A0003" w:tentative="1">
      <w:start w:val="1"/>
      <w:numFmt w:val="bullet"/>
      <w:lvlText w:val="o"/>
      <w:lvlJc w:val="left"/>
      <w:pPr>
        <w:ind w:left="1532" w:hanging="360"/>
      </w:pPr>
      <w:rPr>
        <w:rFonts w:ascii="Courier New" w:hAnsi="Courier New" w:cs="Courier New" w:hint="default"/>
      </w:rPr>
    </w:lvl>
    <w:lvl w:ilvl="2" w:tplc="0C0A0005" w:tentative="1">
      <w:start w:val="1"/>
      <w:numFmt w:val="bullet"/>
      <w:lvlText w:val=""/>
      <w:lvlJc w:val="left"/>
      <w:pPr>
        <w:ind w:left="2252" w:hanging="360"/>
      </w:pPr>
      <w:rPr>
        <w:rFonts w:ascii="Wingdings" w:hAnsi="Wingdings" w:hint="default"/>
      </w:rPr>
    </w:lvl>
    <w:lvl w:ilvl="3" w:tplc="0C0A0001" w:tentative="1">
      <w:start w:val="1"/>
      <w:numFmt w:val="bullet"/>
      <w:lvlText w:val=""/>
      <w:lvlJc w:val="left"/>
      <w:pPr>
        <w:ind w:left="2972" w:hanging="360"/>
      </w:pPr>
      <w:rPr>
        <w:rFonts w:ascii="Symbol" w:hAnsi="Symbol" w:hint="default"/>
      </w:rPr>
    </w:lvl>
    <w:lvl w:ilvl="4" w:tplc="0C0A0003" w:tentative="1">
      <w:start w:val="1"/>
      <w:numFmt w:val="bullet"/>
      <w:lvlText w:val="o"/>
      <w:lvlJc w:val="left"/>
      <w:pPr>
        <w:ind w:left="3692" w:hanging="360"/>
      </w:pPr>
      <w:rPr>
        <w:rFonts w:ascii="Courier New" w:hAnsi="Courier New" w:cs="Courier New" w:hint="default"/>
      </w:rPr>
    </w:lvl>
    <w:lvl w:ilvl="5" w:tplc="0C0A0005" w:tentative="1">
      <w:start w:val="1"/>
      <w:numFmt w:val="bullet"/>
      <w:lvlText w:val=""/>
      <w:lvlJc w:val="left"/>
      <w:pPr>
        <w:ind w:left="4412" w:hanging="360"/>
      </w:pPr>
      <w:rPr>
        <w:rFonts w:ascii="Wingdings" w:hAnsi="Wingdings" w:hint="default"/>
      </w:rPr>
    </w:lvl>
    <w:lvl w:ilvl="6" w:tplc="0C0A0001" w:tentative="1">
      <w:start w:val="1"/>
      <w:numFmt w:val="bullet"/>
      <w:lvlText w:val=""/>
      <w:lvlJc w:val="left"/>
      <w:pPr>
        <w:ind w:left="5132" w:hanging="360"/>
      </w:pPr>
      <w:rPr>
        <w:rFonts w:ascii="Symbol" w:hAnsi="Symbol" w:hint="default"/>
      </w:rPr>
    </w:lvl>
    <w:lvl w:ilvl="7" w:tplc="0C0A0003" w:tentative="1">
      <w:start w:val="1"/>
      <w:numFmt w:val="bullet"/>
      <w:lvlText w:val="o"/>
      <w:lvlJc w:val="left"/>
      <w:pPr>
        <w:ind w:left="5852" w:hanging="360"/>
      </w:pPr>
      <w:rPr>
        <w:rFonts w:ascii="Courier New" w:hAnsi="Courier New" w:cs="Courier New" w:hint="default"/>
      </w:rPr>
    </w:lvl>
    <w:lvl w:ilvl="8" w:tplc="0C0A0005" w:tentative="1">
      <w:start w:val="1"/>
      <w:numFmt w:val="bullet"/>
      <w:lvlText w:val=""/>
      <w:lvlJc w:val="left"/>
      <w:pPr>
        <w:ind w:left="6572" w:hanging="360"/>
      </w:pPr>
      <w:rPr>
        <w:rFonts w:ascii="Wingdings" w:hAnsi="Wingdings" w:hint="default"/>
      </w:rPr>
    </w:lvl>
  </w:abstractNum>
  <w:abstractNum w:abstractNumId="33" w15:restartNumberingAfterBreak="0">
    <w:nsid w:val="59F96E22"/>
    <w:multiLevelType w:val="hybridMultilevel"/>
    <w:tmpl w:val="CD6096B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5BCC75F1"/>
    <w:multiLevelType w:val="multilevel"/>
    <w:tmpl w:val="DD26BB82"/>
    <w:lvl w:ilvl="0">
      <w:start w:val="1"/>
      <w:numFmt w:val="bullet"/>
      <w:lvlText w:val="–"/>
      <w:lvlJc w:val="left"/>
      <w:pPr>
        <w:tabs>
          <w:tab w:val="num" w:pos="360"/>
        </w:tabs>
        <w:ind w:left="360" w:hanging="360"/>
      </w:pPr>
      <w:rPr>
        <w:rFonts w:ascii="Verdana" w:hAnsi="Verdana"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5" w15:restartNumberingAfterBreak="0">
    <w:nsid w:val="6021181B"/>
    <w:multiLevelType w:val="hybridMultilevel"/>
    <w:tmpl w:val="DAFEBA0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38D5730"/>
    <w:multiLevelType w:val="hybridMultilevel"/>
    <w:tmpl w:val="DEA267C8"/>
    <w:lvl w:ilvl="0" w:tplc="F6362242">
      <w:numFmt w:val="bullet"/>
      <w:lvlText w:val="-"/>
      <w:lvlJc w:val="left"/>
      <w:pPr>
        <w:ind w:left="360" w:hanging="360"/>
      </w:pPr>
      <w:rPr>
        <w:rFonts w:ascii="Calibri" w:eastAsia="Calibri" w:hAnsi="Calibri" w:hint="default"/>
      </w:rPr>
    </w:lvl>
    <w:lvl w:ilvl="1" w:tplc="0C0A0003">
      <w:start w:val="1"/>
      <w:numFmt w:val="decimal"/>
      <w:lvlText w:val="%2."/>
      <w:lvlJc w:val="left"/>
      <w:pPr>
        <w:tabs>
          <w:tab w:val="num" w:pos="1080"/>
        </w:tabs>
        <w:ind w:left="1080" w:hanging="360"/>
      </w:pPr>
    </w:lvl>
    <w:lvl w:ilvl="2" w:tplc="0C0A0005">
      <w:start w:val="1"/>
      <w:numFmt w:val="decimal"/>
      <w:lvlText w:val="%3."/>
      <w:lvlJc w:val="left"/>
      <w:pPr>
        <w:tabs>
          <w:tab w:val="num" w:pos="1800"/>
        </w:tabs>
        <w:ind w:left="1800" w:hanging="360"/>
      </w:pPr>
    </w:lvl>
    <w:lvl w:ilvl="3" w:tplc="0C0A0001">
      <w:start w:val="1"/>
      <w:numFmt w:val="decimal"/>
      <w:lvlText w:val="%4."/>
      <w:lvlJc w:val="left"/>
      <w:pPr>
        <w:tabs>
          <w:tab w:val="num" w:pos="2520"/>
        </w:tabs>
        <w:ind w:left="2520" w:hanging="360"/>
      </w:pPr>
    </w:lvl>
    <w:lvl w:ilvl="4" w:tplc="0C0A0003">
      <w:start w:val="1"/>
      <w:numFmt w:val="decimal"/>
      <w:lvlText w:val="%5."/>
      <w:lvlJc w:val="left"/>
      <w:pPr>
        <w:tabs>
          <w:tab w:val="num" w:pos="3240"/>
        </w:tabs>
        <w:ind w:left="3240" w:hanging="360"/>
      </w:pPr>
    </w:lvl>
    <w:lvl w:ilvl="5" w:tplc="0C0A0005">
      <w:start w:val="1"/>
      <w:numFmt w:val="decimal"/>
      <w:lvlText w:val="%6."/>
      <w:lvlJc w:val="left"/>
      <w:pPr>
        <w:tabs>
          <w:tab w:val="num" w:pos="3960"/>
        </w:tabs>
        <w:ind w:left="3960" w:hanging="360"/>
      </w:pPr>
    </w:lvl>
    <w:lvl w:ilvl="6" w:tplc="0C0A0001">
      <w:start w:val="1"/>
      <w:numFmt w:val="decimal"/>
      <w:lvlText w:val="%7."/>
      <w:lvlJc w:val="left"/>
      <w:pPr>
        <w:tabs>
          <w:tab w:val="num" w:pos="4680"/>
        </w:tabs>
        <w:ind w:left="4680" w:hanging="360"/>
      </w:pPr>
    </w:lvl>
    <w:lvl w:ilvl="7" w:tplc="0C0A0003">
      <w:start w:val="1"/>
      <w:numFmt w:val="decimal"/>
      <w:lvlText w:val="%8."/>
      <w:lvlJc w:val="left"/>
      <w:pPr>
        <w:tabs>
          <w:tab w:val="num" w:pos="5400"/>
        </w:tabs>
        <w:ind w:left="5400" w:hanging="360"/>
      </w:pPr>
    </w:lvl>
    <w:lvl w:ilvl="8" w:tplc="0C0A0005">
      <w:start w:val="1"/>
      <w:numFmt w:val="decimal"/>
      <w:lvlText w:val="%9."/>
      <w:lvlJc w:val="left"/>
      <w:pPr>
        <w:tabs>
          <w:tab w:val="num" w:pos="6120"/>
        </w:tabs>
        <w:ind w:left="6120" w:hanging="360"/>
      </w:pPr>
    </w:lvl>
  </w:abstractNum>
  <w:abstractNum w:abstractNumId="37" w15:restartNumberingAfterBreak="0">
    <w:nsid w:val="6454458B"/>
    <w:multiLevelType w:val="hybridMultilevel"/>
    <w:tmpl w:val="AF46A5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6F7C3A21"/>
    <w:multiLevelType w:val="hybridMultilevel"/>
    <w:tmpl w:val="9C7A8D9A"/>
    <w:lvl w:ilvl="0" w:tplc="E53E06D8">
      <w:start w:val="1"/>
      <w:numFmt w:val="bullet"/>
      <w:lvlText w:val="–"/>
      <w:lvlJc w:val="left"/>
      <w:pPr>
        <w:ind w:left="720" w:hanging="360"/>
      </w:pPr>
      <w:rPr>
        <w:rFonts w:ascii="Verdana" w:hAnsi="Verdan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79574D3F"/>
    <w:multiLevelType w:val="hybridMultilevel"/>
    <w:tmpl w:val="392A4F9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7A1009A3"/>
    <w:multiLevelType w:val="hybridMultilevel"/>
    <w:tmpl w:val="BC2C9C80"/>
    <w:lvl w:ilvl="0" w:tplc="0C0A000F">
      <w:start w:val="1"/>
      <w:numFmt w:val="decimal"/>
      <w:lvlText w:val="%1."/>
      <w:lvlJc w:val="left"/>
      <w:pPr>
        <w:ind w:left="1352" w:hanging="360"/>
      </w:pPr>
    </w:lvl>
    <w:lvl w:ilvl="1" w:tplc="0C0A0019" w:tentative="1">
      <w:start w:val="1"/>
      <w:numFmt w:val="lowerLetter"/>
      <w:lvlText w:val="%2."/>
      <w:lvlJc w:val="left"/>
      <w:pPr>
        <w:ind w:left="2072" w:hanging="360"/>
      </w:pPr>
    </w:lvl>
    <w:lvl w:ilvl="2" w:tplc="0C0A001B" w:tentative="1">
      <w:start w:val="1"/>
      <w:numFmt w:val="lowerRoman"/>
      <w:lvlText w:val="%3."/>
      <w:lvlJc w:val="right"/>
      <w:pPr>
        <w:ind w:left="2792" w:hanging="180"/>
      </w:pPr>
    </w:lvl>
    <w:lvl w:ilvl="3" w:tplc="0C0A000F" w:tentative="1">
      <w:start w:val="1"/>
      <w:numFmt w:val="decimal"/>
      <w:lvlText w:val="%4."/>
      <w:lvlJc w:val="left"/>
      <w:pPr>
        <w:ind w:left="3512" w:hanging="360"/>
      </w:pPr>
    </w:lvl>
    <w:lvl w:ilvl="4" w:tplc="0C0A0019" w:tentative="1">
      <w:start w:val="1"/>
      <w:numFmt w:val="lowerLetter"/>
      <w:lvlText w:val="%5."/>
      <w:lvlJc w:val="left"/>
      <w:pPr>
        <w:ind w:left="4232" w:hanging="360"/>
      </w:pPr>
    </w:lvl>
    <w:lvl w:ilvl="5" w:tplc="0C0A001B" w:tentative="1">
      <w:start w:val="1"/>
      <w:numFmt w:val="lowerRoman"/>
      <w:lvlText w:val="%6."/>
      <w:lvlJc w:val="right"/>
      <w:pPr>
        <w:ind w:left="4952" w:hanging="180"/>
      </w:pPr>
    </w:lvl>
    <w:lvl w:ilvl="6" w:tplc="0C0A000F" w:tentative="1">
      <w:start w:val="1"/>
      <w:numFmt w:val="decimal"/>
      <w:lvlText w:val="%7."/>
      <w:lvlJc w:val="left"/>
      <w:pPr>
        <w:ind w:left="5672" w:hanging="360"/>
      </w:pPr>
    </w:lvl>
    <w:lvl w:ilvl="7" w:tplc="0C0A0019" w:tentative="1">
      <w:start w:val="1"/>
      <w:numFmt w:val="lowerLetter"/>
      <w:lvlText w:val="%8."/>
      <w:lvlJc w:val="left"/>
      <w:pPr>
        <w:ind w:left="6392" w:hanging="360"/>
      </w:pPr>
    </w:lvl>
    <w:lvl w:ilvl="8" w:tplc="0C0A001B" w:tentative="1">
      <w:start w:val="1"/>
      <w:numFmt w:val="lowerRoman"/>
      <w:lvlText w:val="%9."/>
      <w:lvlJc w:val="right"/>
      <w:pPr>
        <w:ind w:left="7112" w:hanging="180"/>
      </w:pPr>
    </w:lvl>
  </w:abstractNum>
  <w:abstractNum w:abstractNumId="41" w15:restartNumberingAfterBreak="0">
    <w:nsid w:val="7B071C0E"/>
    <w:multiLevelType w:val="multilevel"/>
    <w:tmpl w:val="EB86FF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7B611385"/>
    <w:multiLevelType w:val="multilevel"/>
    <w:tmpl w:val="FCBA36AE"/>
    <w:lvl w:ilvl="0">
      <w:start w:val="1"/>
      <w:numFmt w:val="bullet"/>
      <w:lvlText w:val=""/>
      <w:lvlJc w:val="left"/>
      <w:pPr>
        <w:tabs>
          <w:tab w:val="num" w:pos="567"/>
        </w:tabs>
        <w:ind w:left="113" w:hanging="113"/>
      </w:pPr>
      <w:rPr>
        <w:rFonts w:ascii="Symbol" w:hAnsi="Symbol" w:hint="default"/>
        <w:spacing w:val="0"/>
      </w:rPr>
    </w:lvl>
    <w:lvl w:ilvl="1">
      <w:start w:val="1"/>
      <w:numFmt w:val="decimal"/>
      <w:isLgl/>
      <w:lvlText w:val="%1.%2."/>
      <w:lvlJc w:val="left"/>
      <w:pPr>
        <w:tabs>
          <w:tab w:val="num" w:pos="567"/>
        </w:tabs>
        <w:ind w:left="113" w:hanging="113"/>
      </w:pPr>
      <w:rPr>
        <w:rFonts w:hint="default"/>
      </w:rPr>
    </w:lvl>
    <w:lvl w:ilvl="2">
      <w:start w:val="1"/>
      <w:numFmt w:val="decimal"/>
      <w:isLgl/>
      <w:lvlText w:val="%1.%2.%3."/>
      <w:lvlJc w:val="left"/>
      <w:pPr>
        <w:tabs>
          <w:tab w:val="num" w:pos="567"/>
        </w:tabs>
        <w:ind w:left="113" w:hanging="113"/>
      </w:pPr>
      <w:rPr>
        <w:rFonts w:hint="default"/>
      </w:rPr>
    </w:lvl>
    <w:lvl w:ilvl="3">
      <w:start w:val="1"/>
      <w:numFmt w:val="decimal"/>
      <w:isLgl/>
      <w:lvlText w:val="%1.%2.%3.%4."/>
      <w:lvlJc w:val="left"/>
      <w:pPr>
        <w:tabs>
          <w:tab w:val="num" w:pos="567"/>
        </w:tabs>
        <w:ind w:left="113" w:hanging="113"/>
      </w:pPr>
      <w:rPr>
        <w:rFonts w:hint="default"/>
      </w:rPr>
    </w:lvl>
    <w:lvl w:ilvl="4">
      <w:start w:val="1"/>
      <w:numFmt w:val="decimal"/>
      <w:isLgl/>
      <w:lvlText w:val="%1.%2.%3.%4.%5."/>
      <w:lvlJc w:val="left"/>
      <w:pPr>
        <w:tabs>
          <w:tab w:val="num" w:pos="567"/>
        </w:tabs>
        <w:ind w:left="113" w:hanging="113"/>
      </w:pPr>
      <w:rPr>
        <w:rFonts w:hint="default"/>
      </w:rPr>
    </w:lvl>
    <w:lvl w:ilvl="5">
      <w:start w:val="1"/>
      <w:numFmt w:val="decimal"/>
      <w:isLgl/>
      <w:lvlText w:val="%1.%2.%3.%4.%5.%6."/>
      <w:lvlJc w:val="left"/>
      <w:pPr>
        <w:tabs>
          <w:tab w:val="num" w:pos="567"/>
        </w:tabs>
        <w:ind w:left="113" w:hanging="113"/>
      </w:pPr>
      <w:rPr>
        <w:rFonts w:hint="default"/>
      </w:rPr>
    </w:lvl>
    <w:lvl w:ilvl="6">
      <w:start w:val="1"/>
      <w:numFmt w:val="decimal"/>
      <w:isLgl/>
      <w:lvlText w:val="%1.%2.%3.%4.%5.%6.%7."/>
      <w:lvlJc w:val="left"/>
      <w:pPr>
        <w:tabs>
          <w:tab w:val="num" w:pos="567"/>
        </w:tabs>
        <w:ind w:left="113" w:hanging="113"/>
      </w:pPr>
      <w:rPr>
        <w:rFonts w:hint="default"/>
      </w:rPr>
    </w:lvl>
    <w:lvl w:ilvl="7">
      <w:start w:val="1"/>
      <w:numFmt w:val="decimal"/>
      <w:isLgl/>
      <w:lvlText w:val="%1.%2.%3.%4.%5.%6.%7.%8."/>
      <w:lvlJc w:val="left"/>
      <w:pPr>
        <w:tabs>
          <w:tab w:val="num" w:pos="567"/>
        </w:tabs>
        <w:ind w:left="113" w:hanging="113"/>
      </w:pPr>
      <w:rPr>
        <w:rFonts w:hint="default"/>
      </w:rPr>
    </w:lvl>
    <w:lvl w:ilvl="8">
      <w:start w:val="1"/>
      <w:numFmt w:val="decimal"/>
      <w:isLgl/>
      <w:lvlText w:val="%1.%2.%3.%4.%5.%6.%7.%8.%9."/>
      <w:lvlJc w:val="left"/>
      <w:pPr>
        <w:tabs>
          <w:tab w:val="num" w:pos="567"/>
        </w:tabs>
        <w:ind w:left="113" w:hanging="113"/>
      </w:pPr>
      <w:rPr>
        <w:rFonts w:hint="default"/>
      </w:rPr>
    </w:lvl>
  </w:abstractNum>
  <w:abstractNum w:abstractNumId="43" w15:restartNumberingAfterBreak="0">
    <w:nsid w:val="7F2D40BE"/>
    <w:multiLevelType w:val="hybridMultilevel"/>
    <w:tmpl w:val="097EA2A0"/>
    <w:lvl w:ilvl="0" w:tplc="E53E06D8">
      <w:start w:val="1"/>
      <w:numFmt w:val="bullet"/>
      <w:lvlText w:val="–"/>
      <w:lvlJc w:val="left"/>
      <w:pPr>
        <w:ind w:left="1490" w:hanging="360"/>
      </w:pPr>
      <w:rPr>
        <w:rFonts w:ascii="Verdana" w:hAnsi="Verdana" w:hint="default"/>
      </w:rPr>
    </w:lvl>
    <w:lvl w:ilvl="1" w:tplc="0C0A0003" w:tentative="1">
      <w:start w:val="1"/>
      <w:numFmt w:val="bullet"/>
      <w:lvlText w:val="o"/>
      <w:lvlJc w:val="left"/>
      <w:pPr>
        <w:ind w:left="2210" w:hanging="360"/>
      </w:pPr>
      <w:rPr>
        <w:rFonts w:ascii="Courier New" w:hAnsi="Courier New" w:cs="Courier New" w:hint="default"/>
      </w:rPr>
    </w:lvl>
    <w:lvl w:ilvl="2" w:tplc="0C0A0005" w:tentative="1">
      <w:start w:val="1"/>
      <w:numFmt w:val="bullet"/>
      <w:lvlText w:val=""/>
      <w:lvlJc w:val="left"/>
      <w:pPr>
        <w:ind w:left="2930" w:hanging="360"/>
      </w:pPr>
      <w:rPr>
        <w:rFonts w:ascii="Wingdings" w:hAnsi="Wingdings" w:hint="default"/>
      </w:rPr>
    </w:lvl>
    <w:lvl w:ilvl="3" w:tplc="0C0A0001" w:tentative="1">
      <w:start w:val="1"/>
      <w:numFmt w:val="bullet"/>
      <w:lvlText w:val=""/>
      <w:lvlJc w:val="left"/>
      <w:pPr>
        <w:ind w:left="3650" w:hanging="360"/>
      </w:pPr>
      <w:rPr>
        <w:rFonts w:ascii="Symbol" w:hAnsi="Symbol" w:hint="default"/>
      </w:rPr>
    </w:lvl>
    <w:lvl w:ilvl="4" w:tplc="0C0A0003" w:tentative="1">
      <w:start w:val="1"/>
      <w:numFmt w:val="bullet"/>
      <w:lvlText w:val="o"/>
      <w:lvlJc w:val="left"/>
      <w:pPr>
        <w:ind w:left="4370" w:hanging="360"/>
      </w:pPr>
      <w:rPr>
        <w:rFonts w:ascii="Courier New" w:hAnsi="Courier New" w:cs="Courier New" w:hint="default"/>
      </w:rPr>
    </w:lvl>
    <w:lvl w:ilvl="5" w:tplc="0C0A0005" w:tentative="1">
      <w:start w:val="1"/>
      <w:numFmt w:val="bullet"/>
      <w:lvlText w:val=""/>
      <w:lvlJc w:val="left"/>
      <w:pPr>
        <w:ind w:left="5090" w:hanging="360"/>
      </w:pPr>
      <w:rPr>
        <w:rFonts w:ascii="Wingdings" w:hAnsi="Wingdings" w:hint="default"/>
      </w:rPr>
    </w:lvl>
    <w:lvl w:ilvl="6" w:tplc="0C0A0001" w:tentative="1">
      <w:start w:val="1"/>
      <w:numFmt w:val="bullet"/>
      <w:lvlText w:val=""/>
      <w:lvlJc w:val="left"/>
      <w:pPr>
        <w:ind w:left="5810" w:hanging="360"/>
      </w:pPr>
      <w:rPr>
        <w:rFonts w:ascii="Symbol" w:hAnsi="Symbol" w:hint="default"/>
      </w:rPr>
    </w:lvl>
    <w:lvl w:ilvl="7" w:tplc="0C0A0003" w:tentative="1">
      <w:start w:val="1"/>
      <w:numFmt w:val="bullet"/>
      <w:lvlText w:val="o"/>
      <w:lvlJc w:val="left"/>
      <w:pPr>
        <w:ind w:left="6530" w:hanging="360"/>
      </w:pPr>
      <w:rPr>
        <w:rFonts w:ascii="Courier New" w:hAnsi="Courier New" w:cs="Courier New" w:hint="default"/>
      </w:rPr>
    </w:lvl>
    <w:lvl w:ilvl="8" w:tplc="0C0A0005" w:tentative="1">
      <w:start w:val="1"/>
      <w:numFmt w:val="bullet"/>
      <w:lvlText w:val=""/>
      <w:lvlJc w:val="left"/>
      <w:pPr>
        <w:ind w:left="7250" w:hanging="360"/>
      </w:pPr>
      <w:rPr>
        <w:rFonts w:ascii="Wingdings" w:hAnsi="Wingdings" w:hint="default"/>
      </w:rPr>
    </w:lvl>
  </w:abstractNum>
  <w:num w:numId="1">
    <w:abstractNumId w:val="25"/>
  </w:num>
  <w:num w:numId="2">
    <w:abstractNumId w:val="21"/>
  </w:num>
  <w:num w:numId="3">
    <w:abstractNumId w:val="33"/>
  </w:num>
  <w:num w:numId="4">
    <w:abstractNumId w:val="39"/>
  </w:num>
  <w:num w:numId="5">
    <w:abstractNumId w:val="26"/>
  </w:num>
  <w:num w:numId="6">
    <w:abstractNumId w:val="12"/>
  </w:num>
  <w:num w:numId="7">
    <w:abstractNumId w:val="4"/>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6"/>
  </w:num>
  <w:num w:numId="10">
    <w:abstractNumId w:val="19"/>
  </w:num>
  <w:num w:numId="11">
    <w:abstractNumId w:val="13"/>
  </w:num>
  <w:num w:numId="12">
    <w:abstractNumId w:val="37"/>
  </w:num>
  <w:num w:numId="13">
    <w:abstractNumId w:val="29"/>
  </w:num>
  <w:num w:numId="14">
    <w:abstractNumId w:val="32"/>
  </w:num>
  <w:num w:numId="15">
    <w:abstractNumId w:val="24"/>
  </w:num>
  <w:num w:numId="16">
    <w:abstractNumId w:val="1"/>
  </w:num>
  <w:num w:numId="17">
    <w:abstractNumId w:val="9"/>
  </w:num>
  <w:num w:numId="18">
    <w:abstractNumId w:val="15"/>
  </w:num>
  <w:num w:numId="19">
    <w:abstractNumId w:val="42"/>
  </w:num>
  <w:num w:numId="20">
    <w:abstractNumId w:val="31"/>
  </w:num>
  <w:num w:numId="21">
    <w:abstractNumId w:val="38"/>
  </w:num>
  <w:num w:numId="22">
    <w:abstractNumId w:val="40"/>
  </w:num>
  <w:num w:numId="23">
    <w:abstractNumId w:val="6"/>
  </w:num>
  <w:num w:numId="24">
    <w:abstractNumId w:val="43"/>
  </w:num>
  <w:num w:numId="25">
    <w:abstractNumId w:val="27"/>
  </w:num>
  <w:num w:numId="26">
    <w:abstractNumId w:val="16"/>
  </w:num>
  <w:num w:numId="27">
    <w:abstractNumId w:val="11"/>
  </w:num>
  <w:num w:numId="28">
    <w:abstractNumId w:val="3"/>
  </w:num>
  <w:num w:numId="29">
    <w:abstractNumId w:val="0"/>
  </w:num>
  <w:num w:numId="30">
    <w:abstractNumId w:val="20"/>
  </w:num>
  <w:num w:numId="31">
    <w:abstractNumId w:val="10"/>
  </w:num>
  <w:num w:numId="32">
    <w:abstractNumId w:val="14"/>
  </w:num>
  <w:num w:numId="33">
    <w:abstractNumId w:val="35"/>
  </w:num>
  <w:num w:numId="34">
    <w:abstractNumId w:val="7"/>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num>
  <w:num w:numId="37">
    <w:abstractNumId w:val="30"/>
  </w:num>
  <w:num w:numId="38">
    <w:abstractNumId w:val="5"/>
  </w:num>
  <w:num w:numId="39">
    <w:abstractNumId w:val="4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8"/>
  </w:num>
  <w:num w:numId="41">
    <w:abstractNumId w:val="2"/>
  </w:num>
  <w:num w:numId="42">
    <w:abstractNumId w:val="17"/>
  </w:num>
  <w:num w:numId="43">
    <w:abstractNumId w:val="34"/>
  </w:num>
  <w:num w:numId="44">
    <w:abstractNumId w:val="23"/>
  </w:num>
  <w:num w:numId="45">
    <w:abstractNumId w:val="22"/>
  </w:num>
  <w:num w:numId="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F0BFC"/>
    <w:rsid w:val="002519FA"/>
    <w:rsid w:val="00254206"/>
    <w:rsid w:val="00374966"/>
    <w:rsid w:val="005A2024"/>
    <w:rsid w:val="008F0BFC"/>
    <w:rsid w:val="00A00BA4"/>
    <w:rsid w:val="00A25F72"/>
    <w:rsid w:val="00FF29E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7E3DACDA-B187-424E-A952-B02E8DEA6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7"/>
    <w:lsdException w:name="Medium Shading 1 Accent 2" w:uiPriority="63"/>
    <w:lsdException w:name="Medium Shading 2 Accent 2" w:uiPriority="64"/>
    <w:lsdException w:name="Medium List 1 Accent 2" w:uiPriority="70"/>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BFC"/>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8F0BFC"/>
    <w:pPr>
      <w:keepNext/>
      <w:numPr>
        <w:numId w:val="1"/>
      </w:numPr>
      <w:ind w:right="850"/>
      <w:jc w:val="both"/>
      <w:outlineLvl w:val="0"/>
    </w:pPr>
    <w:rPr>
      <w:rFonts w:ascii="Arial Narrow" w:hAnsi="Arial Narrow"/>
      <w:b/>
      <w:sz w:val="22"/>
      <w:szCs w:val="20"/>
      <w:lang w:val="es-ES_tradnl"/>
    </w:rPr>
  </w:style>
  <w:style w:type="paragraph" w:styleId="Ttulo2">
    <w:name w:val="heading 2"/>
    <w:basedOn w:val="Normal"/>
    <w:next w:val="Normal"/>
    <w:link w:val="Ttulo2Car"/>
    <w:qFormat/>
    <w:rsid w:val="008F0BFC"/>
    <w:pPr>
      <w:keepNext/>
      <w:numPr>
        <w:ilvl w:val="1"/>
        <w:numId w:val="1"/>
      </w:numPr>
      <w:ind w:right="-1"/>
      <w:jc w:val="both"/>
      <w:outlineLvl w:val="1"/>
    </w:pPr>
    <w:rPr>
      <w:rFonts w:ascii="Arial Narrow" w:hAnsi="Arial Narrow"/>
      <w:b/>
      <w:sz w:val="20"/>
      <w:szCs w:val="20"/>
      <w:lang w:val="es-ES_tradnl"/>
    </w:rPr>
  </w:style>
  <w:style w:type="paragraph" w:styleId="Ttulo3">
    <w:name w:val="heading 3"/>
    <w:basedOn w:val="Normal"/>
    <w:next w:val="Normal"/>
    <w:link w:val="Ttulo3Car"/>
    <w:qFormat/>
    <w:rsid w:val="008F0BFC"/>
    <w:pPr>
      <w:keepNext/>
      <w:numPr>
        <w:ilvl w:val="2"/>
        <w:numId w:val="1"/>
      </w:numPr>
      <w:spacing w:before="240" w:after="60"/>
      <w:outlineLvl w:val="2"/>
    </w:pPr>
    <w:rPr>
      <w:rFonts w:ascii="Arial" w:hAnsi="Arial"/>
      <w:szCs w:val="20"/>
      <w:lang w:val="es-ES_tradnl"/>
    </w:rPr>
  </w:style>
  <w:style w:type="paragraph" w:styleId="Ttulo4">
    <w:name w:val="heading 4"/>
    <w:basedOn w:val="Normal"/>
    <w:next w:val="Normal"/>
    <w:link w:val="Ttulo4Car"/>
    <w:qFormat/>
    <w:rsid w:val="008F0BFC"/>
    <w:pPr>
      <w:keepNext/>
      <w:numPr>
        <w:ilvl w:val="3"/>
        <w:numId w:val="1"/>
      </w:numPr>
      <w:outlineLvl w:val="3"/>
    </w:pPr>
    <w:rPr>
      <w:rFonts w:ascii="Arial Narrow" w:hAnsi="Arial Narrow"/>
      <w:b/>
      <w:sz w:val="20"/>
      <w:szCs w:val="20"/>
    </w:rPr>
  </w:style>
  <w:style w:type="paragraph" w:styleId="Ttulo5">
    <w:name w:val="heading 5"/>
    <w:basedOn w:val="Normal"/>
    <w:next w:val="Normal"/>
    <w:link w:val="Ttulo5Car"/>
    <w:qFormat/>
    <w:rsid w:val="008F0BFC"/>
    <w:pPr>
      <w:keepNext/>
      <w:numPr>
        <w:ilvl w:val="4"/>
        <w:numId w:val="1"/>
      </w:numPr>
      <w:outlineLvl w:val="4"/>
    </w:pPr>
    <w:rPr>
      <w:rFonts w:ascii="Arial Narrow" w:hAnsi="Arial Narrow"/>
      <w:b/>
      <w:sz w:val="16"/>
      <w:szCs w:val="20"/>
    </w:rPr>
  </w:style>
  <w:style w:type="paragraph" w:styleId="Ttulo6">
    <w:name w:val="heading 6"/>
    <w:basedOn w:val="Normal"/>
    <w:next w:val="Normal"/>
    <w:link w:val="Ttulo6Car"/>
    <w:qFormat/>
    <w:rsid w:val="008F0BFC"/>
    <w:pPr>
      <w:numPr>
        <w:ilvl w:val="5"/>
        <w:numId w:val="1"/>
      </w:numPr>
      <w:spacing w:before="240" w:after="60"/>
      <w:outlineLvl w:val="5"/>
    </w:pPr>
    <w:rPr>
      <w:i/>
      <w:sz w:val="22"/>
      <w:szCs w:val="20"/>
      <w:lang w:val="es-ES_tradnl"/>
    </w:rPr>
  </w:style>
  <w:style w:type="paragraph" w:styleId="Ttulo7">
    <w:name w:val="heading 7"/>
    <w:basedOn w:val="Normal"/>
    <w:next w:val="Normal"/>
    <w:link w:val="Ttulo7Car"/>
    <w:qFormat/>
    <w:rsid w:val="008F0BFC"/>
    <w:pPr>
      <w:numPr>
        <w:ilvl w:val="6"/>
        <w:numId w:val="1"/>
      </w:numPr>
      <w:spacing w:before="240" w:after="60"/>
      <w:outlineLvl w:val="6"/>
    </w:pPr>
    <w:rPr>
      <w:rFonts w:ascii="Arial" w:hAnsi="Arial"/>
      <w:sz w:val="20"/>
      <w:szCs w:val="20"/>
      <w:lang w:val="es-ES_tradnl"/>
    </w:rPr>
  </w:style>
  <w:style w:type="paragraph" w:styleId="Ttulo8">
    <w:name w:val="heading 8"/>
    <w:basedOn w:val="Normal"/>
    <w:next w:val="Normal"/>
    <w:link w:val="Ttulo8Car"/>
    <w:qFormat/>
    <w:rsid w:val="008F0BFC"/>
    <w:pPr>
      <w:numPr>
        <w:ilvl w:val="7"/>
        <w:numId w:val="1"/>
      </w:numPr>
      <w:spacing w:before="240" w:after="60"/>
      <w:outlineLvl w:val="7"/>
    </w:pPr>
    <w:rPr>
      <w:rFonts w:ascii="Arial" w:hAnsi="Arial"/>
      <w:i/>
      <w:sz w:val="20"/>
      <w:szCs w:val="20"/>
      <w:lang w:val="es-ES_tradnl"/>
    </w:rPr>
  </w:style>
  <w:style w:type="paragraph" w:styleId="Ttulo9">
    <w:name w:val="heading 9"/>
    <w:basedOn w:val="Normal"/>
    <w:next w:val="Normal"/>
    <w:link w:val="Ttulo9Car"/>
    <w:qFormat/>
    <w:rsid w:val="008F0BFC"/>
    <w:pPr>
      <w:keepNext/>
      <w:numPr>
        <w:ilvl w:val="8"/>
        <w:numId w:val="1"/>
      </w:numPr>
      <w:pBdr>
        <w:top w:val="single" w:sz="4" w:space="1" w:color="auto"/>
      </w:pBdr>
      <w:outlineLvl w:val="8"/>
    </w:pPr>
    <w:rPr>
      <w:rFonts w:ascii="Arial Narrow" w:hAnsi="Arial Narrow"/>
      <w:sz w:val="36"/>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8F0BFC"/>
    <w:rPr>
      <w:rFonts w:ascii="Arial Narrow" w:eastAsia="Times New Roman" w:hAnsi="Arial Narrow" w:cs="Times New Roman"/>
      <w:b/>
      <w:szCs w:val="20"/>
      <w:lang w:val="es-ES_tradnl" w:eastAsia="es-ES"/>
    </w:rPr>
  </w:style>
  <w:style w:type="character" w:customStyle="1" w:styleId="Ttulo2Car">
    <w:name w:val="Título 2 Car"/>
    <w:basedOn w:val="Fuentedeprrafopredeter"/>
    <w:link w:val="Ttulo2"/>
    <w:rsid w:val="008F0BFC"/>
    <w:rPr>
      <w:rFonts w:ascii="Arial Narrow" w:eastAsia="Times New Roman" w:hAnsi="Arial Narrow" w:cs="Times New Roman"/>
      <w:b/>
      <w:sz w:val="20"/>
      <w:szCs w:val="20"/>
      <w:lang w:val="es-ES_tradnl" w:eastAsia="es-ES"/>
    </w:rPr>
  </w:style>
  <w:style w:type="character" w:customStyle="1" w:styleId="Ttulo3Car">
    <w:name w:val="Título 3 Car"/>
    <w:basedOn w:val="Fuentedeprrafopredeter"/>
    <w:link w:val="Ttulo3"/>
    <w:rsid w:val="008F0BFC"/>
    <w:rPr>
      <w:rFonts w:ascii="Arial" w:eastAsia="Times New Roman" w:hAnsi="Arial" w:cs="Times New Roman"/>
      <w:sz w:val="24"/>
      <w:szCs w:val="20"/>
      <w:lang w:val="es-ES_tradnl" w:eastAsia="es-ES"/>
    </w:rPr>
  </w:style>
  <w:style w:type="character" w:customStyle="1" w:styleId="Ttulo4Car">
    <w:name w:val="Título 4 Car"/>
    <w:basedOn w:val="Fuentedeprrafopredeter"/>
    <w:link w:val="Ttulo4"/>
    <w:rsid w:val="008F0BFC"/>
    <w:rPr>
      <w:rFonts w:ascii="Arial Narrow" w:eastAsia="Times New Roman" w:hAnsi="Arial Narrow" w:cs="Times New Roman"/>
      <w:b/>
      <w:sz w:val="20"/>
      <w:szCs w:val="20"/>
      <w:lang w:eastAsia="es-ES"/>
    </w:rPr>
  </w:style>
  <w:style w:type="character" w:customStyle="1" w:styleId="Ttulo5Car">
    <w:name w:val="Título 5 Car"/>
    <w:basedOn w:val="Fuentedeprrafopredeter"/>
    <w:link w:val="Ttulo5"/>
    <w:rsid w:val="008F0BFC"/>
    <w:rPr>
      <w:rFonts w:ascii="Arial Narrow" w:eastAsia="Times New Roman" w:hAnsi="Arial Narrow" w:cs="Times New Roman"/>
      <w:b/>
      <w:sz w:val="16"/>
      <w:szCs w:val="20"/>
      <w:lang w:eastAsia="es-ES"/>
    </w:rPr>
  </w:style>
  <w:style w:type="character" w:customStyle="1" w:styleId="Ttulo6Car">
    <w:name w:val="Título 6 Car"/>
    <w:basedOn w:val="Fuentedeprrafopredeter"/>
    <w:link w:val="Ttulo6"/>
    <w:rsid w:val="008F0BFC"/>
    <w:rPr>
      <w:rFonts w:ascii="Times New Roman" w:eastAsia="Times New Roman" w:hAnsi="Times New Roman" w:cs="Times New Roman"/>
      <w:i/>
      <w:szCs w:val="20"/>
      <w:lang w:val="es-ES_tradnl" w:eastAsia="es-ES"/>
    </w:rPr>
  </w:style>
  <w:style w:type="character" w:customStyle="1" w:styleId="Ttulo7Car">
    <w:name w:val="Título 7 Car"/>
    <w:basedOn w:val="Fuentedeprrafopredeter"/>
    <w:link w:val="Ttulo7"/>
    <w:rsid w:val="008F0BFC"/>
    <w:rPr>
      <w:rFonts w:ascii="Arial" w:eastAsia="Times New Roman" w:hAnsi="Arial" w:cs="Times New Roman"/>
      <w:sz w:val="20"/>
      <w:szCs w:val="20"/>
      <w:lang w:val="es-ES_tradnl" w:eastAsia="es-ES"/>
    </w:rPr>
  </w:style>
  <w:style w:type="character" w:customStyle="1" w:styleId="Ttulo8Car">
    <w:name w:val="Título 8 Car"/>
    <w:basedOn w:val="Fuentedeprrafopredeter"/>
    <w:link w:val="Ttulo8"/>
    <w:rsid w:val="008F0BFC"/>
    <w:rPr>
      <w:rFonts w:ascii="Arial" w:eastAsia="Times New Roman" w:hAnsi="Arial" w:cs="Times New Roman"/>
      <w:i/>
      <w:sz w:val="20"/>
      <w:szCs w:val="20"/>
      <w:lang w:val="es-ES_tradnl" w:eastAsia="es-ES"/>
    </w:rPr>
  </w:style>
  <w:style w:type="character" w:customStyle="1" w:styleId="Ttulo9Car">
    <w:name w:val="Título 9 Car"/>
    <w:basedOn w:val="Fuentedeprrafopredeter"/>
    <w:link w:val="Ttulo9"/>
    <w:rsid w:val="008F0BFC"/>
    <w:rPr>
      <w:rFonts w:ascii="Arial Narrow" w:eastAsia="Times New Roman" w:hAnsi="Arial Narrow" w:cs="Times New Roman"/>
      <w:sz w:val="36"/>
      <w:szCs w:val="20"/>
      <w:lang w:eastAsia="es-ES"/>
    </w:rPr>
  </w:style>
  <w:style w:type="paragraph" w:styleId="Piedepgina">
    <w:name w:val="footer"/>
    <w:basedOn w:val="Normal"/>
    <w:link w:val="PiedepginaCar"/>
    <w:uiPriority w:val="99"/>
    <w:rsid w:val="008F0BFC"/>
    <w:pPr>
      <w:tabs>
        <w:tab w:val="center" w:pos="4252"/>
        <w:tab w:val="right" w:pos="8504"/>
      </w:tabs>
    </w:pPr>
    <w:rPr>
      <w:sz w:val="20"/>
      <w:szCs w:val="20"/>
      <w:lang w:val="es-ES_tradnl"/>
    </w:rPr>
  </w:style>
  <w:style w:type="character" w:customStyle="1" w:styleId="PiedepginaCar">
    <w:name w:val="Pie de página Car"/>
    <w:basedOn w:val="Fuentedeprrafopredeter"/>
    <w:link w:val="Piedepgina"/>
    <w:uiPriority w:val="99"/>
    <w:rsid w:val="008F0BFC"/>
    <w:rPr>
      <w:rFonts w:ascii="Times New Roman" w:eastAsia="Times New Roman" w:hAnsi="Times New Roman" w:cs="Times New Roman"/>
      <w:sz w:val="20"/>
      <w:szCs w:val="20"/>
      <w:lang w:val="es-ES_tradnl"/>
    </w:rPr>
  </w:style>
  <w:style w:type="character" w:styleId="Nmerodepgina">
    <w:name w:val="page number"/>
    <w:basedOn w:val="Fuentedeprrafopredeter"/>
    <w:semiHidden/>
    <w:rsid w:val="008F0BFC"/>
  </w:style>
  <w:style w:type="paragraph" w:styleId="Textodebloque">
    <w:name w:val="Block Text"/>
    <w:basedOn w:val="Normal"/>
    <w:semiHidden/>
    <w:rsid w:val="008F0BFC"/>
    <w:pPr>
      <w:ind w:left="360" w:right="-1"/>
      <w:jc w:val="both"/>
    </w:pPr>
    <w:rPr>
      <w:rFonts w:ascii="Arial Narrow" w:hAnsi="Arial Narrow"/>
      <w:color w:val="000000"/>
    </w:rPr>
  </w:style>
  <w:style w:type="paragraph" w:styleId="Textoindependiente">
    <w:name w:val="Body Text"/>
    <w:basedOn w:val="Normal"/>
    <w:link w:val="TextoindependienteCar"/>
    <w:semiHidden/>
    <w:rsid w:val="008F0BFC"/>
    <w:pPr>
      <w:ind w:right="566"/>
      <w:jc w:val="both"/>
      <w:outlineLvl w:val="0"/>
    </w:pPr>
    <w:rPr>
      <w:rFonts w:ascii="Arial Narrow" w:hAnsi="Arial Narrow"/>
      <w:color w:val="000000"/>
    </w:rPr>
  </w:style>
  <w:style w:type="character" w:customStyle="1" w:styleId="TextoindependienteCar">
    <w:name w:val="Texto independiente Car"/>
    <w:basedOn w:val="Fuentedeprrafopredeter"/>
    <w:link w:val="Textoindependiente"/>
    <w:semiHidden/>
    <w:rsid w:val="008F0BFC"/>
    <w:rPr>
      <w:rFonts w:ascii="Arial Narrow" w:eastAsia="Times New Roman" w:hAnsi="Arial Narrow" w:cs="Times New Roman"/>
      <w:color w:val="000000"/>
      <w:sz w:val="24"/>
      <w:szCs w:val="24"/>
      <w:lang w:eastAsia="es-ES"/>
    </w:rPr>
  </w:style>
  <w:style w:type="paragraph" w:styleId="Textoindependiente2">
    <w:name w:val="Body Text 2"/>
    <w:basedOn w:val="Normal"/>
    <w:link w:val="Textoindependiente2Car"/>
    <w:semiHidden/>
    <w:rsid w:val="008F0BFC"/>
    <w:pPr>
      <w:ind w:right="-1"/>
      <w:jc w:val="both"/>
      <w:outlineLvl w:val="0"/>
    </w:pPr>
    <w:rPr>
      <w:rFonts w:ascii="Arial Narrow" w:hAnsi="Arial Narrow"/>
      <w:b/>
      <w:color w:val="999999"/>
    </w:rPr>
  </w:style>
  <w:style w:type="character" w:customStyle="1" w:styleId="Textoindependiente2Car">
    <w:name w:val="Texto independiente 2 Car"/>
    <w:basedOn w:val="Fuentedeprrafopredeter"/>
    <w:link w:val="Textoindependiente2"/>
    <w:semiHidden/>
    <w:rsid w:val="008F0BFC"/>
    <w:rPr>
      <w:rFonts w:ascii="Arial Narrow" w:eastAsia="Times New Roman" w:hAnsi="Arial Narrow" w:cs="Times New Roman"/>
      <w:b/>
      <w:color w:val="999999"/>
      <w:sz w:val="24"/>
      <w:szCs w:val="24"/>
      <w:lang w:eastAsia="es-ES"/>
    </w:rPr>
  </w:style>
  <w:style w:type="table" w:styleId="Cuadrculaclara-nfasis2">
    <w:name w:val="Light Grid Accent 2"/>
    <w:basedOn w:val="Tablanormal"/>
    <w:uiPriority w:val="67"/>
    <w:rsid w:val="008F0BFC"/>
    <w:pPr>
      <w:spacing w:after="0" w:line="240" w:lineRule="auto"/>
    </w:pPr>
    <w:rPr>
      <w:rFonts w:ascii="Times New Roman" w:eastAsia="Times New Roman" w:hAnsi="Times New Roman" w:cs="Times New Roman"/>
      <w:sz w:val="20"/>
      <w:szCs w:val="20"/>
      <w:lang w:eastAsia="es-E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Listamedia1-nfasis2">
    <w:name w:val="Medium List 1 Accent 2"/>
    <w:basedOn w:val="Tablanormal"/>
    <w:uiPriority w:val="70"/>
    <w:rsid w:val="008F0BFC"/>
    <w:pPr>
      <w:spacing w:after="0" w:line="240" w:lineRule="auto"/>
    </w:pPr>
    <w:rPr>
      <w:rFonts w:ascii="Times New Roman" w:eastAsia="Times New Roman" w:hAnsi="Times New Roman" w:cs="Times New Roman"/>
      <w:color w:val="FFFFFF"/>
      <w:sz w:val="20"/>
      <w:szCs w:val="20"/>
      <w:lang w:eastAsia="es-ES"/>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paragraph" w:styleId="Encabezado">
    <w:name w:val="header"/>
    <w:basedOn w:val="Normal"/>
    <w:link w:val="EncabezadoCar"/>
    <w:uiPriority w:val="99"/>
    <w:unhideWhenUsed/>
    <w:rsid w:val="008F0BFC"/>
    <w:pPr>
      <w:tabs>
        <w:tab w:val="center" w:pos="4252"/>
        <w:tab w:val="right" w:pos="8504"/>
      </w:tabs>
    </w:pPr>
  </w:style>
  <w:style w:type="character" w:customStyle="1" w:styleId="EncabezadoCar">
    <w:name w:val="Encabezado Car"/>
    <w:basedOn w:val="Fuentedeprrafopredeter"/>
    <w:link w:val="Encabezado"/>
    <w:uiPriority w:val="99"/>
    <w:rsid w:val="008F0BFC"/>
    <w:rPr>
      <w:rFonts w:ascii="Times New Roman" w:eastAsia="Times New Roman" w:hAnsi="Times New Roman" w:cs="Times New Roman"/>
      <w:sz w:val="24"/>
      <w:szCs w:val="24"/>
    </w:rPr>
  </w:style>
  <w:style w:type="character" w:customStyle="1" w:styleId="apple-style-span">
    <w:name w:val="apple-style-span"/>
    <w:basedOn w:val="Fuentedeprrafopredeter"/>
    <w:rsid w:val="008F0BFC"/>
  </w:style>
  <w:style w:type="paragraph" w:styleId="Textoindependiente3">
    <w:name w:val="Body Text 3"/>
    <w:basedOn w:val="Normal"/>
    <w:link w:val="Textoindependiente3Car"/>
    <w:rsid w:val="008F0BFC"/>
    <w:pPr>
      <w:spacing w:after="120"/>
    </w:pPr>
    <w:rPr>
      <w:sz w:val="16"/>
      <w:szCs w:val="16"/>
    </w:rPr>
  </w:style>
  <w:style w:type="character" w:customStyle="1" w:styleId="Textoindependiente3Car">
    <w:name w:val="Texto independiente 3 Car"/>
    <w:basedOn w:val="Fuentedeprrafopredeter"/>
    <w:link w:val="Textoindependiente3"/>
    <w:rsid w:val="008F0BFC"/>
    <w:rPr>
      <w:rFonts w:ascii="Times New Roman" w:eastAsia="Times New Roman" w:hAnsi="Times New Roman" w:cs="Times New Roman"/>
      <w:sz w:val="16"/>
      <w:szCs w:val="16"/>
      <w:lang w:eastAsia="es-ES"/>
    </w:rPr>
  </w:style>
  <w:style w:type="character" w:styleId="Hipervnculo">
    <w:name w:val="Hyperlink"/>
    <w:rsid w:val="008F0BFC"/>
    <w:rPr>
      <w:color w:val="0000FF"/>
      <w:u w:val="single"/>
    </w:rPr>
  </w:style>
  <w:style w:type="character" w:customStyle="1" w:styleId="TextodegloboCar">
    <w:name w:val="Texto de globo Car"/>
    <w:link w:val="Textodeglobo"/>
    <w:uiPriority w:val="99"/>
    <w:semiHidden/>
    <w:rsid w:val="008F0BFC"/>
    <w:rPr>
      <w:rFonts w:ascii="Tahoma" w:hAnsi="Tahoma" w:cs="Tahoma"/>
      <w:sz w:val="16"/>
      <w:szCs w:val="16"/>
      <w:lang w:eastAsia="es-ES"/>
    </w:rPr>
  </w:style>
  <w:style w:type="paragraph" w:styleId="Textodeglobo">
    <w:name w:val="Balloon Text"/>
    <w:basedOn w:val="Normal"/>
    <w:link w:val="TextodegloboCar"/>
    <w:uiPriority w:val="99"/>
    <w:semiHidden/>
    <w:rsid w:val="008F0BFC"/>
    <w:rPr>
      <w:rFonts w:ascii="Tahoma" w:eastAsiaTheme="minorHAnsi" w:hAnsi="Tahoma" w:cs="Tahoma"/>
      <w:sz w:val="16"/>
      <w:szCs w:val="16"/>
    </w:rPr>
  </w:style>
  <w:style w:type="character" w:customStyle="1" w:styleId="TextodegloboCar1">
    <w:name w:val="Texto de globo Car1"/>
    <w:basedOn w:val="Fuentedeprrafopredeter"/>
    <w:uiPriority w:val="99"/>
    <w:semiHidden/>
    <w:rsid w:val="008F0BFC"/>
    <w:rPr>
      <w:rFonts w:ascii="Tahoma" w:eastAsia="Times New Roman" w:hAnsi="Tahoma" w:cs="Tahoma"/>
      <w:sz w:val="16"/>
      <w:szCs w:val="16"/>
      <w:lang w:eastAsia="es-ES"/>
    </w:rPr>
  </w:style>
  <w:style w:type="paragraph" w:styleId="Textocomentario">
    <w:name w:val="annotation text"/>
    <w:basedOn w:val="Normal"/>
    <w:link w:val="TextocomentarioCar"/>
    <w:semiHidden/>
    <w:rsid w:val="008F0BFC"/>
    <w:rPr>
      <w:sz w:val="20"/>
      <w:szCs w:val="20"/>
    </w:rPr>
  </w:style>
  <w:style w:type="character" w:customStyle="1" w:styleId="TextocomentarioCar">
    <w:name w:val="Texto comentario Car"/>
    <w:basedOn w:val="Fuentedeprrafopredeter"/>
    <w:link w:val="Textocomentario"/>
    <w:semiHidden/>
    <w:rsid w:val="008F0BFC"/>
    <w:rPr>
      <w:rFonts w:ascii="Times New Roman" w:eastAsia="Times New Roman" w:hAnsi="Times New Roman" w:cs="Times New Roman"/>
      <w:sz w:val="20"/>
      <w:szCs w:val="20"/>
      <w:lang w:eastAsia="es-ES"/>
    </w:rPr>
  </w:style>
  <w:style w:type="character" w:customStyle="1" w:styleId="AsuntodelcomentarioCar">
    <w:name w:val="Asunto del comentario Car"/>
    <w:link w:val="Asuntodelcomentario"/>
    <w:semiHidden/>
    <w:rsid w:val="008F0BFC"/>
    <w:rPr>
      <w:b/>
      <w:bCs/>
      <w:lang w:eastAsia="es-ES"/>
    </w:rPr>
  </w:style>
  <w:style w:type="paragraph" w:styleId="Asuntodelcomentario">
    <w:name w:val="annotation subject"/>
    <w:basedOn w:val="Textocomentario"/>
    <w:next w:val="Textocomentario"/>
    <w:link w:val="AsuntodelcomentarioCar"/>
    <w:semiHidden/>
    <w:rsid w:val="008F0BFC"/>
    <w:rPr>
      <w:rFonts w:asciiTheme="minorHAnsi" w:eastAsiaTheme="minorHAnsi" w:hAnsiTheme="minorHAnsi" w:cstheme="minorBidi"/>
      <w:b/>
      <w:bCs/>
      <w:sz w:val="22"/>
      <w:szCs w:val="22"/>
    </w:rPr>
  </w:style>
  <w:style w:type="character" w:customStyle="1" w:styleId="AsuntodelcomentarioCar1">
    <w:name w:val="Asunto del comentario Car1"/>
    <w:basedOn w:val="TextocomentarioCar"/>
    <w:uiPriority w:val="99"/>
    <w:semiHidden/>
    <w:rsid w:val="008F0BFC"/>
    <w:rPr>
      <w:rFonts w:ascii="Times New Roman" w:eastAsia="Times New Roman" w:hAnsi="Times New Roman" w:cs="Times New Roman"/>
      <w:b/>
      <w:bCs/>
      <w:sz w:val="20"/>
      <w:szCs w:val="20"/>
      <w:lang w:eastAsia="es-ES"/>
    </w:rPr>
  </w:style>
  <w:style w:type="character" w:styleId="Hipervnculovisitado">
    <w:name w:val="FollowedHyperlink"/>
    <w:rsid w:val="008F0BFC"/>
    <w:rPr>
      <w:color w:val="800080"/>
      <w:u w:val="single"/>
    </w:rPr>
  </w:style>
  <w:style w:type="character" w:customStyle="1" w:styleId="apple-converted-space">
    <w:name w:val="apple-converted-space"/>
    <w:basedOn w:val="Fuentedeprrafopredeter"/>
    <w:rsid w:val="008F0BFC"/>
  </w:style>
  <w:style w:type="character" w:styleId="AcrnimoHTML">
    <w:name w:val="HTML Acronym"/>
    <w:basedOn w:val="Fuentedeprrafopredeter"/>
    <w:rsid w:val="008F0BFC"/>
  </w:style>
  <w:style w:type="character" w:customStyle="1" w:styleId="interref">
    <w:name w:val="interref"/>
    <w:basedOn w:val="Fuentedeprrafopredeter"/>
    <w:rsid w:val="008F0BFC"/>
  </w:style>
  <w:style w:type="paragraph" w:styleId="NormalWeb">
    <w:name w:val="Normal (Web)"/>
    <w:basedOn w:val="Normal"/>
    <w:rsid w:val="008F0BFC"/>
    <w:pPr>
      <w:spacing w:before="100" w:beforeAutospacing="1" w:after="100" w:afterAutospacing="1"/>
    </w:pPr>
  </w:style>
  <w:style w:type="character" w:styleId="nfasis">
    <w:name w:val="Emphasis"/>
    <w:qFormat/>
    <w:rsid w:val="008F0BFC"/>
    <w:rPr>
      <w:i/>
      <w:iCs/>
    </w:rPr>
  </w:style>
  <w:style w:type="paragraph" w:customStyle="1" w:styleId="Default">
    <w:name w:val="Default"/>
    <w:rsid w:val="008F0BFC"/>
    <w:pPr>
      <w:autoSpaceDE w:val="0"/>
      <w:autoSpaceDN w:val="0"/>
      <w:adjustRightInd w:val="0"/>
      <w:spacing w:after="0" w:line="240" w:lineRule="auto"/>
    </w:pPr>
    <w:rPr>
      <w:rFonts w:ascii="EPFDC A+ Century Std" w:eastAsia="Times New Roman" w:hAnsi="EPFDC A+ Century Std" w:cs="EPFDC A+ Century Std"/>
      <w:color w:val="000000"/>
      <w:sz w:val="24"/>
      <w:szCs w:val="24"/>
      <w:lang w:eastAsia="es-ES"/>
    </w:rPr>
  </w:style>
  <w:style w:type="character" w:styleId="Refdecomentario">
    <w:name w:val="annotation reference"/>
    <w:uiPriority w:val="99"/>
    <w:semiHidden/>
    <w:unhideWhenUsed/>
    <w:rsid w:val="008F0BFC"/>
    <w:rPr>
      <w:sz w:val="16"/>
      <w:szCs w:val="16"/>
    </w:rPr>
  </w:style>
  <w:style w:type="table" w:styleId="Tablaconcuadrcula">
    <w:name w:val="Table Grid"/>
    <w:basedOn w:val="Tablanormal"/>
    <w:uiPriority w:val="59"/>
    <w:rsid w:val="008F0BFC"/>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8F0BFC"/>
    <w:pPr>
      <w:spacing w:after="200" w:line="276" w:lineRule="auto"/>
      <w:ind w:left="720"/>
      <w:contextualSpacing/>
    </w:pPr>
    <w:rPr>
      <w:rFonts w:ascii="Calibri" w:eastAsia="Calibri" w:hAnsi="Calibri"/>
      <w:sz w:val="22"/>
      <w:szCs w:val="22"/>
      <w:lang w:eastAsia="en-US"/>
    </w:rPr>
  </w:style>
  <w:style w:type="numbering" w:customStyle="1" w:styleId="Sinlista1">
    <w:name w:val="Sin lista1"/>
    <w:next w:val="Sinlista"/>
    <w:uiPriority w:val="99"/>
    <w:semiHidden/>
    <w:unhideWhenUsed/>
    <w:rsid w:val="008F0BFC"/>
  </w:style>
  <w:style w:type="table" w:customStyle="1" w:styleId="Tablaconcuadrcula1">
    <w:name w:val="Tabla con cuadrícula1"/>
    <w:basedOn w:val="Tablanormal"/>
    <w:next w:val="Tablaconcuadrcula"/>
    <w:uiPriority w:val="59"/>
    <w:rsid w:val="008F0BF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Textodelmarcadordeposicin">
    <w:name w:val="Placeholder Text"/>
    <w:uiPriority w:val="99"/>
    <w:semiHidden/>
    <w:rsid w:val="008F0BFC"/>
    <w:rPr>
      <w:color w:val="808080"/>
    </w:rPr>
  </w:style>
  <w:style w:type="character" w:customStyle="1" w:styleId="element-citation">
    <w:name w:val="element-citation"/>
    <w:basedOn w:val="Fuentedeprrafopredeter"/>
    <w:rsid w:val="008F0BFC"/>
  </w:style>
  <w:style w:type="character" w:customStyle="1" w:styleId="ref-journal">
    <w:name w:val="ref-journal"/>
    <w:basedOn w:val="Fuentedeprrafopredeter"/>
    <w:rsid w:val="008F0BFC"/>
  </w:style>
  <w:style w:type="character" w:customStyle="1" w:styleId="cit-pub-date">
    <w:name w:val="cit-pub-date"/>
    <w:basedOn w:val="Fuentedeprrafopredeter"/>
    <w:rsid w:val="008F0BFC"/>
  </w:style>
  <w:style w:type="character" w:customStyle="1" w:styleId="cit-name-surname">
    <w:name w:val="cit-name-surname"/>
    <w:basedOn w:val="Fuentedeprrafopredeter"/>
    <w:rsid w:val="008F0BFC"/>
  </w:style>
  <w:style w:type="character" w:customStyle="1" w:styleId="cit-name-given-names">
    <w:name w:val="cit-name-given-names"/>
    <w:basedOn w:val="Fuentedeprrafopredeter"/>
    <w:rsid w:val="008F0BFC"/>
  </w:style>
  <w:style w:type="character" w:styleId="CitaHTML">
    <w:name w:val="HTML Cite"/>
    <w:uiPriority w:val="99"/>
    <w:unhideWhenUsed/>
    <w:rsid w:val="008F0BFC"/>
    <w:rPr>
      <w:i/>
      <w:iCs/>
    </w:rPr>
  </w:style>
  <w:style w:type="character" w:customStyle="1" w:styleId="cit-article-title">
    <w:name w:val="cit-article-title"/>
    <w:basedOn w:val="Fuentedeprrafopredeter"/>
    <w:rsid w:val="008F0BFC"/>
  </w:style>
  <w:style w:type="character" w:customStyle="1" w:styleId="cit-vol">
    <w:name w:val="cit-vol"/>
    <w:basedOn w:val="Fuentedeprrafopredeter"/>
    <w:rsid w:val="008F0BFC"/>
  </w:style>
  <w:style w:type="character" w:customStyle="1" w:styleId="cit-fpage">
    <w:name w:val="cit-fpage"/>
    <w:basedOn w:val="Fuentedeprrafopredeter"/>
    <w:rsid w:val="008F0BFC"/>
  </w:style>
  <w:style w:type="character" w:customStyle="1" w:styleId="cit-lpage">
    <w:name w:val="cit-lpage"/>
    <w:basedOn w:val="Fuentedeprrafopredeter"/>
    <w:rsid w:val="008F0BFC"/>
  </w:style>
  <w:style w:type="character" w:customStyle="1" w:styleId="hps">
    <w:name w:val="hps"/>
    <w:basedOn w:val="Fuentedeprrafopredeter"/>
    <w:rsid w:val="008F0BFC"/>
  </w:style>
  <w:style w:type="character" w:customStyle="1" w:styleId="atn">
    <w:name w:val="atn"/>
    <w:basedOn w:val="Fuentedeprrafopredeter"/>
    <w:rsid w:val="008F0BFC"/>
  </w:style>
  <w:style w:type="character" w:customStyle="1" w:styleId="A2">
    <w:name w:val="A2"/>
    <w:uiPriority w:val="99"/>
    <w:rsid w:val="008F0BFC"/>
    <w:rPr>
      <w:b/>
      <w:bCs/>
      <w:color w:val="221E1F"/>
      <w:sz w:val="37"/>
      <w:szCs w:val="37"/>
    </w:rPr>
  </w:style>
  <w:style w:type="paragraph" w:customStyle="1" w:styleId="Pa1">
    <w:name w:val="Pa1"/>
    <w:basedOn w:val="Default"/>
    <w:next w:val="Default"/>
    <w:uiPriority w:val="99"/>
    <w:rsid w:val="008F0BFC"/>
    <w:pPr>
      <w:spacing w:line="241" w:lineRule="atLeast"/>
    </w:pPr>
    <w:rPr>
      <w:rFonts w:ascii="Arial" w:hAnsi="Arial" w:cs="Arial"/>
      <w:color w:val="auto"/>
    </w:rPr>
  </w:style>
  <w:style w:type="paragraph" w:customStyle="1" w:styleId="EndNoteBibliographyTitle">
    <w:name w:val="EndNote Bibliography Title"/>
    <w:basedOn w:val="Normal"/>
    <w:link w:val="EndNoteBibliographyTitleCar"/>
    <w:rsid w:val="008F0BFC"/>
    <w:pPr>
      <w:jc w:val="center"/>
    </w:pPr>
    <w:rPr>
      <w:noProof/>
    </w:rPr>
  </w:style>
  <w:style w:type="numbering" w:styleId="111111">
    <w:name w:val="Outline List 2"/>
    <w:basedOn w:val="Sinlista"/>
    <w:uiPriority w:val="99"/>
    <w:semiHidden/>
    <w:unhideWhenUsed/>
    <w:rsid w:val="008F0BFC"/>
    <w:pPr>
      <w:numPr>
        <w:numId w:val="46"/>
      </w:numPr>
    </w:pPr>
  </w:style>
  <w:style w:type="character" w:customStyle="1" w:styleId="EndNoteBibliographyTitleCar">
    <w:name w:val="EndNote Bibliography Title Car"/>
    <w:basedOn w:val="Fuentedeprrafopredeter"/>
    <w:link w:val="EndNoteBibliographyTitle"/>
    <w:rsid w:val="008F0BFC"/>
    <w:rPr>
      <w:rFonts w:ascii="Times New Roman" w:eastAsia="Times New Roman" w:hAnsi="Times New Roman" w:cs="Times New Roman"/>
      <w:noProof/>
      <w:sz w:val="24"/>
      <w:szCs w:val="24"/>
      <w:lang w:eastAsia="es-ES"/>
    </w:rPr>
  </w:style>
  <w:style w:type="paragraph" w:customStyle="1" w:styleId="EndNoteBibliography">
    <w:name w:val="EndNote Bibliography"/>
    <w:basedOn w:val="Normal"/>
    <w:link w:val="EndNoteBibliographyCar"/>
    <w:rsid w:val="008F0BFC"/>
    <w:pPr>
      <w:jc w:val="both"/>
    </w:pPr>
    <w:rPr>
      <w:noProof/>
    </w:rPr>
  </w:style>
  <w:style w:type="character" w:customStyle="1" w:styleId="EndNoteBibliographyCar">
    <w:name w:val="EndNote Bibliography Car"/>
    <w:basedOn w:val="Fuentedeprrafopredeter"/>
    <w:link w:val="EndNoteBibliography"/>
    <w:rsid w:val="008F0BFC"/>
    <w:rPr>
      <w:rFonts w:ascii="Times New Roman" w:eastAsia="Times New Roman" w:hAnsi="Times New Roman" w:cs="Times New Roman"/>
      <w:noProof/>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11</Pages>
  <Words>3898</Words>
  <Characters>21440</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Cristina García de Leonardo</cp:lastModifiedBy>
  <cp:revision>1</cp:revision>
  <dcterms:created xsi:type="dcterms:W3CDTF">2015-07-18T22:20:00Z</dcterms:created>
  <dcterms:modified xsi:type="dcterms:W3CDTF">2016-02-29T17:55:00Z</dcterms:modified>
</cp:coreProperties>
</file>