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D7" w:rsidRDefault="002566FF" w:rsidP="002566FF">
      <w:pPr>
        <w:suppressLineNumbers/>
        <w:spacing w:line="480" w:lineRule="auto"/>
        <w:rPr>
          <w:rFonts w:ascii="Arial" w:hAnsi="Arial" w:cs="Arial"/>
          <w:b/>
          <w:sz w:val="20"/>
          <w:szCs w:val="20"/>
        </w:rPr>
      </w:pPr>
      <w:r w:rsidRPr="00517183">
        <w:rPr>
          <w:rFonts w:ascii="Arial" w:hAnsi="Arial" w:cs="Arial"/>
          <w:b/>
          <w:sz w:val="20"/>
          <w:szCs w:val="20"/>
        </w:rPr>
        <w:t>Additional file 4: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D55D7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="003D55D7">
        <w:rPr>
          <w:rFonts w:ascii="Arial" w:hAnsi="Arial" w:cs="Arial"/>
          <w:b/>
          <w:sz w:val="20"/>
          <w:szCs w:val="20"/>
        </w:rPr>
        <w:t>3. Characteristics of Included Studies</w:t>
      </w:r>
    </w:p>
    <w:p w:rsidR="003D55D7" w:rsidRDefault="003D55D7" w:rsidP="003D55D7">
      <w:pPr>
        <w:spacing w:line="48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3857" w:type="dxa"/>
        <w:tblLayout w:type="fixed"/>
        <w:tblLook w:val="04A0"/>
      </w:tblPr>
      <w:tblGrid>
        <w:gridCol w:w="1732"/>
        <w:gridCol w:w="1733"/>
        <w:gridCol w:w="1732"/>
        <w:gridCol w:w="1732"/>
        <w:gridCol w:w="1732"/>
        <w:gridCol w:w="1732"/>
        <w:gridCol w:w="1732"/>
        <w:gridCol w:w="1732"/>
      </w:tblGrid>
      <w:tr w:rsidR="003D55D7" w:rsidRPr="00261FF3" w:rsidTr="00BA48DC">
        <w:trPr>
          <w:trHeight w:val="383"/>
        </w:trPr>
        <w:tc>
          <w:tcPr>
            <w:tcW w:w="1732" w:type="dxa"/>
            <w:vMerge w:val="restart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3" w:type="dxa"/>
            <w:vMerge w:val="restart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1FF3">
              <w:rPr>
                <w:rFonts w:ascii="Arial" w:hAnsi="Arial" w:cs="Arial"/>
                <w:b/>
                <w:sz w:val="16"/>
                <w:szCs w:val="16"/>
              </w:rPr>
              <w:t>Country of Origin</w:t>
            </w:r>
          </w:p>
        </w:tc>
        <w:tc>
          <w:tcPr>
            <w:tcW w:w="1732" w:type="dxa"/>
            <w:vMerge w:val="restart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1FF3">
              <w:rPr>
                <w:rFonts w:ascii="Arial" w:hAnsi="Arial" w:cs="Arial"/>
                <w:b/>
                <w:sz w:val="16"/>
                <w:szCs w:val="16"/>
              </w:rPr>
              <w:t>Aims of Study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[study design]</w:t>
            </w:r>
          </w:p>
        </w:tc>
        <w:tc>
          <w:tcPr>
            <w:tcW w:w="5196" w:type="dxa"/>
            <w:gridSpan w:val="3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1FF3">
              <w:rPr>
                <w:rFonts w:ascii="Arial" w:hAnsi="Arial" w:cs="Arial"/>
                <w:b/>
                <w:sz w:val="16"/>
                <w:szCs w:val="16"/>
              </w:rPr>
              <w:t>Context</w:t>
            </w:r>
          </w:p>
        </w:tc>
        <w:tc>
          <w:tcPr>
            <w:tcW w:w="1732" w:type="dxa"/>
            <w:vMerge w:val="restart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Findings</w:t>
            </w:r>
          </w:p>
        </w:tc>
        <w:tc>
          <w:tcPr>
            <w:tcW w:w="1732" w:type="dxa"/>
            <w:vMerge w:val="restart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Interpretation of Findings</w:t>
            </w:r>
          </w:p>
        </w:tc>
      </w:tr>
      <w:tr w:rsidR="003D55D7" w:rsidRPr="00261FF3" w:rsidTr="00BA48DC">
        <w:tc>
          <w:tcPr>
            <w:tcW w:w="1732" w:type="dxa"/>
            <w:vMerge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1FF3">
              <w:rPr>
                <w:rFonts w:ascii="Arial" w:hAnsi="Arial" w:cs="Arial"/>
                <w:b/>
                <w:sz w:val="16"/>
                <w:szCs w:val="16"/>
              </w:rPr>
              <w:t>Setting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/ degree details</w:t>
            </w:r>
          </w:p>
        </w:tc>
        <w:tc>
          <w:tcPr>
            <w:tcW w:w="1732" w:type="dxa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1FF3">
              <w:rPr>
                <w:rFonts w:ascii="Arial" w:hAnsi="Arial" w:cs="Arial"/>
                <w:b/>
                <w:sz w:val="16"/>
                <w:szCs w:val="16"/>
              </w:rPr>
              <w:t>Design</w:t>
            </w:r>
          </w:p>
        </w:tc>
        <w:tc>
          <w:tcPr>
            <w:tcW w:w="1732" w:type="dxa"/>
            <w:vAlign w:val="center"/>
          </w:tcPr>
          <w:p w:rsidR="003D55D7" w:rsidRPr="00261FF3" w:rsidRDefault="003D55D7" w:rsidP="00BA48DC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Participants</w:t>
            </w:r>
          </w:p>
        </w:tc>
        <w:tc>
          <w:tcPr>
            <w:tcW w:w="1732" w:type="dxa"/>
            <w:vMerge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1FF3">
              <w:rPr>
                <w:rFonts w:ascii="Arial" w:hAnsi="Arial" w:cs="Arial"/>
                <w:sz w:val="16"/>
                <w:szCs w:val="16"/>
              </w:rPr>
              <w:t>Shacklady</w:t>
            </w:r>
            <w:proofErr w:type="spellEnd"/>
            <w:r w:rsidRPr="00261FF3">
              <w:rPr>
                <w:rFonts w:ascii="Arial" w:hAnsi="Arial" w:cs="Arial"/>
                <w:sz w:val="16"/>
                <w:szCs w:val="16"/>
              </w:rPr>
              <w:t xml:space="preserve"> (2009)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&lt;EndNote&gt;&lt;Cite&gt;&lt;Author&gt;Shacklady&lt;/Author&gt;&lt;Year&gt;2009&lt;/Year&gt;&lt;RecNum&gt;149&lt;/RecNum&gt;&lt;DisplayText&gt;[20]&lt;/DisplayText&gt;&lt;record&gt;&lt;rec-number&gt;149&lt;/rec-number&gt;&lt;foreign-keys&gt;&lt;key app="EN" db-id="9xd5ss2r8ezdt2eadeuxxpeoaffrpd5vdt2w" timestamp="1389001446"&gt;149&lt;/key&gt;&lt;/foreign-keys&gt;&lt;ref-type name="Journal Article"&gt;17&lt;/ref-type&gt;&lt;contributors&gt;&lt;authors&gt;&lt;author&gt;Shacklady, J.&lt;/author&gt;&lt;author&gt;Holmes, E.&lt;/author&gt;&lt;author&gt;Mason, G.&lt;/author&gt;&lt;author&gt;Davies, I.&lt;/author&gt;&lt;author&gt;Dornan, T.&lt;/author&gt;&lt;/authors&gt;&lt;/contributors&gt;&lt;auth-address&gt;[Shacklady, Jaine; Holmes, Eileen; Mason, Graham; Davies, Ioan; Dornan, Tim] Univ Manchester, Manchester M13 9PL, Lancs, England.&amp;#xD;Dornan, T (reprint author), Univ Manchester, Hope Hosp, Sch Med, Stott Lane, Salford M6 8HD, Lancs, England.&amp;#xD;tim.dornan@manchester.ac.uk&lt;/auth-address&gt;&lt;titles&gt;&lt;title&gt;Maturity and medical students&amp;apos; ease of transition into the clinical environment&lt;/title&gt;&lt;secondary-title&gt;Medical Teacher&lt;/secondary-title&gt;&lt;alt-title&gt;Med. Teach.&lt;/alt-title&gt;&lt;/titles&gt;&lt;periodical&gt;&lt;full-title&gt;Medical Teacher&lt;/full-title&gt;&lt;/periodical&gt;&lt;pages&gt;621-626&lt;/pages&gt;&lt;volume&gt;31&lt;/volume&gt;&lt;number&gt;7&lt;/number&gt;&lt;keywords&gt;&lt;keyword&gt;PERFORMANCE&lt;/keyword&gt;&lt;keyword&gt;UNDERGRADUATE&lt;/keyword&gt;&lt;keyword&gt;EXPERIENCE&lt;/keyword&gt;&lt;keyword&gt;PREPARE&lt;/keyword&gt;&lt;keyword&gt;STRESS&lt;/keyword&gt;&lt;/keywords&gt;&lt;dates&gt;&lt;year&gt;2009&lt;/year&gt;&lt;/dates&gt;&lt;isbn&gt;0142-159X&lt;/isbn&gt;&lt;accession-num&gt;WOS:000268788000007&lt;/accession-num&gt;&lt;work-type&gt;Article&lt;/work-type&gt;&lt;urls&gt;&lt;related-urls&gt;&lt;url&gt;&amp;lt;Go to ISI&amp;gt;://WOS:000268788000007&lt;/url&gt;&lt;url&gt;http://informahealthcare.com/doi/pdfplus/10.1080/01421590802203496&lt;/url&gt;&lt;/related-urls&gt;&lt;/urls&gt;&lt;electronic-resource-num&gt;10.1080/01421590802203496&lt;/electronic-resource-num&gt;&lt;language&gt;English&lt;/language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[20]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UK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quantify the effect of maturity on medical students’ transitions into the clinical environment and identify how experiences of transition might be improved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[matched cohort]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PBL-based,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5</w:t>
            </w: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-year undergraduate program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with 3 phases, with minimal clinical exposure in phase 1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Cross-sectional 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web-based </w:t>
            </w:r>
            <w:r>
              <w:rPr>
                <w:rFonts w:ascii="Arial" w:hAnsi="Arial" w:cs="Arial"/>
                <w:sz w:val="16"/>
                <w:szCs w:val="16"/>
              </w:rPr>
              <w:t xml:space="preserve">survey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Survey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focused on preparedness and consisted of 7 items (5 open-ended items,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Likert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scale items)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consecutive student cohorts in Year 3 (Phase 2):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Cohort: Mature aged students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N=29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15M, 14F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Av Phase 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performance</w:t>
            </w:r>
            <w:r w:rsidRPr="00007A9D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59.6 (range = 56-64)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Comparison: Non-mature aged students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N=58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Gender: 30M, 28F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Av Phase 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performance</w:t>
            </w:r>
            <w:r w:rsidRPr="00515078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 53.3 (range = 49-58)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RR: 42%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Mature aged students reported a</w:t>
            </w:r>
          </w:p>
          <w:p w:rsidR="003D55D7" w:rsidRPr="00007A9D" w:rsidRDefault="003D55D7" w:rsidP="003D55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007A9D">
              <w:rPr>
                <w:rFonts w:ascii="Arial" w:hAnsi="Arial" w:cs="Arial"/>
                <w:sz w:val="16"/>
                <w:szCs w:val="16"/>
              </w:rPr>
              <w:t>Good transition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7A9D">
              <w:rPr>
                <w:rFonts w:ascii="Arial" w:hAnsi="Arial" w:cs="Arial"/>
                <w:sz w:val="16"/>
                <w:szCs w:val="16"/>
              </w:rPr>
              <w:t>(OR=6.1 p=0.002)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007A9D">
              <w:rPr>
                <w:rFonts w:ascii="Arial" w:hAnsi="Arial" w:cs="Arial"/>
                <w:sz w:val="16"/>
                <w:szCs w:val="16"/>
              </w:rPr>
              <w:t>Drew on previous years in medical school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15078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OR=2.7 p=0.04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Drew on wide life experiences </w:t>
            </w:r>
            <w:r w:rsidRPr="00515078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OR=3.9 p=0.01</w:t>
            </w:r>
            <w:r w:rsidRPr="00007A9D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Pr="00007A9D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Factors which were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perceived to influence perceived transition included: familiarity with the clinical environment, relevance of clinical teaching, support during transition, preparatory experiences (work experience, learning and teaching knowledge, skills, early experience)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Mature aged students reported greater preparedness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and  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smoother transition into the clinical environment, than non-mature aged students.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transition into the clinical environment was supported by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Teacher support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Prior workplace experience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Clinically relevant knowledge</w:t>
            </w:r>
          </w:p>
          <w:p w:rsidR="003D55D7" w:rsidRPr="00007A9D" w:rsidRDefault="003D55D7" w:rsidP="003D55D7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Confidence in skills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1FF3">
              <w:rPr>
                <w:rFonts w:ascii="Arial" w:hAnsi="Arial" w:cs="Arial"/>
                <w:sz w:val="16"/>
                <w:szCs w:val="16"/>
              </w:rPr>
              <w:lastRenderedPageBreak/>
              <w:t>Wenrich</w:t>
            </w:r>
            <w:proofErr w:type="spellEnd"/>
            <w:r w:rsidRPr="00261FF3">
              <w:rPr>
                <w:rFonts w:ascii="Arial" w:hAnsi="Arial" w:cs="Arial"/>
                <w:sz w:val="16"/>
                <w:szCs w:val="16"/>
              </w:rPr>
              <w:t xml:space="preserve"> (2010)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PEVuZE5vdGU+PENpdGU+PEF1dGhvcj5XZW5yaWNoPC9BdXRob3I+PFllYXI+MjAxMDwvWWVhcj48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PEVuZE5vdGU+PENpdGU+PEF1dGhvcj5XZW5yaWNoPC9BdXRob3I+PFllYXI+MjAxMDwvWWVhcj48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CF03DB">
              <w:rPr>
                <w:rFonts w:ascii="Arial" w:hAnsi="Arial" w:cs="Arial"/>
                <w:sz w:val="16"/>
                <w:szCs w:val="16"/>
              </w:rPr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[23]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determine teacher and learner expectations of clinical-skills training in preparation for clerkships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[cross-sectional, comparative]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Four-year graduate program; two years preclinical training followed by two years clinical clerkship</w:t>
            </w:r>
            <w:r>
              <w:rPr>
                <w:rFonts w:ascii="Arial" w:hAnsi="Arial" w:cs="Arial"/>
                <w:sz w:val="16"/>
                <w:szCs w:val="16"/>
              </w:rPr>
              <w:t xml:space="preserve">s. Pre-clinical training underpinned by Guided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Bestide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Learning pedagogy 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Cross sectional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web-based survey</w:t>
            </w:r>
            <w:r>
              <w:rPr>
                <w:rFonts w:ascii="Arial" w:hAnsi="Arial" w:cs="Arial"/>
                <w:sz w:val="16"/>
                <w:szCs w:val="16"/>
              </w:rPr>
              <w:t xml:space="preserve">, which focused on the level of preparedness with respect to basic and advanced clinical skills and basic science knowledge (measured on a 5-point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likert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scale), when entering the clerkship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student cohort, 3 months after commencing the clinical 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N=115 (62%)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Clerkship faculty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N=56 (58%)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38M, 18F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Pre-clinical faculty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N=30 (61%)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15M, 15F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Preclinical faculty and students had higher expectations than clerkship faculty in all basic skills except for communication and teamwork (p&lt;0.05)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Students had higher expectations in advanced skills than preclinical and clerkship faculty (p&lt;0.05)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significant difference in basic science knowledge expectations between the groups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Agreement is required between preclinical and clerkship faculty regarding expectations of preparedness of students prior to commencing the clerkship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Improved communication between students and faculty required to convey expectations of preparedness for the clinical clerkship 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Prince (2005)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bGU+PC9wZXJpb2RpY2FsPjxwYWdlcz43MDQtNzEyPC9wYWdlcz48dm9sdW1lPjM5PC92b2x1bWU+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bGU+PC9wZXJpb2RpY2FsPjxwYWdlcz43MDQtNzEyPC9wYWdlcz48dm9sdW1lPjM5PC92b2x1bWU+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CF03DB">
              <w:rPr>
                <w:rFonts w:ascii="Arial" w:hAnsi="Arial" w:cs="Arial"/>
                <w:sz w:val="16"/>
                <w:szCs w:val="16"/>
              </w:rPr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[21]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Netherlands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seek quantitative verification of the qualitative findings from the group’s previous focus group study</w:t>
            </w:r>
            <w:r w:rsidR="00CF03DB" w:rsidRPr="00261FF3">
              <w:rPr>
                <w:rFonts w:ascii="Arial" w:hAnsi="Arial" w:cs="Arial"/>
                <w:sz w:val="16"/>
                <w:szCs w:val="16"/>
                <w:lang w:val="en-AU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instrText xml:space="preserve"> ADDIN EN.CITE &lt;EndNote&gt;&lt;Cite&gt;&lt;Author&gt;Prince&lt;/Author&gt;&lt;Year&gt;2000&lt;/Year&gt;&lt;RecNum&gt;409&lt;/RecNum&gt;&lt;DisplayText&gt;[22]&lt;/DisplayText&gt;&lt;record&gt;&lt;rec-number&gt;409&lt;/rec-number&gt;&lt;foreign-keys&gt;&lt;key app="EN" db-id="9xd5ss2r8ezdt2eadeuxxpeoaffrpd5vdt2w" timestamp="1389323190"&gt;409&lt;/key&gt;&lt;/foreign-keys&gt;&lt;ref-type name="Journal Article"&gt;17&lt;/ref-type&gt;&lt;contributors&gt;&lt;authors&gt;&lt;author&gt;Prince, KatinkaJ A. H.&lt;/author&gt;&lt;author&gt;van de Wiel, Margaretha&lt;/author&gt;&lt;author&gt;Scherpbier, AlbertJ J. A.&lt;/author&gt;&lt;author&gt;can der Vleuten, CessP M.&lt;/author&gt;&lt;author&gt;Boshuizen, HennyP A.&lt;/author&gt;&lt;/authors&gt;&lt;/contributors&gt;&lt;titles&gt;&lt;title&gt;A Qualitative Analysis of the Transition from Theory to Practice in Undergraduate Training in a PBL-Medical School&lt;/title&gt;&lt;secondary-title&gt;Advances in Health Sciences Education&lt;/secondary-title&gt;&lt;alt-title&gt;Adv Health Sci Educ Theory Pract&lt;/alt-title&gt;&lt;/titles&gt;&lt;periodical&gt;&lt;full-title&gt;Advances in Health Sciences Education&lt;/full-title&gt;&lt;/periodical&gt;&lt;pages&gt;105-116&lt;/pages&gt;&lt;volume&gt;5&lt;/volume&gt;&lt;number&gt;2&lt;/number&gt;&lt;keywords&gt;&lt;keyword&gt;clerkships focus group&lt;/keyword&gt;&lt;keyword&gt;medical education&lt;/keyword&gt;&lt;keyword&gt;preclinical training&lt;/keyword&gt;&lt;keyword&gt;problem-based learning&lt;/keyword&gt;&lt;keyword&gt;transition&lt;/keyword&gt;&lt;/keywords&gt;&lt;dates&gt;&lt;year&gt;2000&lt;/year&gt;&lt;pub-dates&gt;&lt;date&gt;2000/05/01&lt;/date&gt;&lt;/pub-dates&gt;&lt;/dates&gt;&lt;publisher&gt;Kluwer Academic Publishers&lt;/publisher&gt;&lt;isbn&gt;1382-4996&lt;/isbn&gt;&lt;urls&gt;&lt;related-urls&gt;&lt;url&gt;http://dx.doi.org/10.1023/A%3A1009873003677&lt;/url&gt;&lt;/related-urls&gt;&lt;/urls&gt;&lt;electronic-resource-num&gt;10.1023/A:1009873003677&lt;/electronic-resource-num&gt;&lt;language&gt;English&lt;/language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AU"/>
              </w:rPr>
              <w:t>[22]</w:t>
            </w:r>
            <w:r w:rsidR="00CF03DB" w:rsidRPr="00261FF3">
              <w:rPr>
                <w:rFonts w:ascii="Arial" w:hAnsi="Arial" w:cs="Arial"/>
                <w:sz w:val="16"/>
                <w:szCs w:val="16"/>
                <w:lang w:val="en-AU"/>
              </w:rPr>
              <w:fldChar w:fldCharType="end"/>
            </w: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 xml:space="preserve"> on students’ perceptions of the gap between pre-clinical and clinical training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[cross sectional]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PBL-based 6</w:t>
            </w:r>
            <w:r w:rsidRPr="00261FF3">
              <w:rPr>
                <w:rFonts w:ascii="Arial" w:hAnsi="Arial" w:cs="Arial"/>
                <w:sz w:val="16"/>
                <w:szCs w:val="16"/>
              </w:rPr>
              <w:t>-year undergraduate program; four years theory-oriented preclinical training</w:t>
            </w:r>
            <w:r>
              <w:rPr>
                <w:rFonts w:ascii="Arial" w:hAnsi="Arial" w:cs="Arial"/>
                <w:sz w:val="16"/>
                <w:szCs w:val="16"/>
              </w:rPr>
              <w:t xml:space="preserve"> incorporating clinical skills training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and two years clinical clerkships; PBL curriculum and 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Cross-sectional 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mail-based survey</w:t>
            </w:r>
            <w:r>
              <w:rPr>
                <w:rFonts w:ascii="Arial" w:hAnsi="Arial" w:cs="Arial"/>
                <w:sz w:val="16"/>
                <w:szCs w:val="16"/>
              </w:rPr>
              <w:t xml:space="preserve"> consisting of 95 items (8 items on demographic characteristics, 77 items measured on a 5-point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likert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scale, 10 open-ended questions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61FF3">
              <w:rPr>
                <w:rFonts w:ascii="Arial" w:hAnsi="Arial" w:cs="Arial"/>
                <w:sz w:val="16"/>
                <w:szCs w:val="16"/>
              </w:rPr>
              <w:t>lerkship students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N=71 (67%)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19M 52F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Mean age (SD): 23.1 (1.52) years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Student reported that the following impacted on their transition into the clinical clerkship; an increase in workload, variable patient contact, a change in learning expectations, positive and negative staff-student contact, lack of accessible knowledge, unfamiliar environment, uncertainty of their role and responsibilities </w:t>
            </w:r>
          </w:p>
        </w:tc>
        <w:tc>
          <w:tcPr>
            <w:tcW w:w="1732" w:type="dxa"/>
          </w:tcPr>
          <w:p w:rsidR="003D55D7" w:rsidRDefault="003D55D7" w:rsidP="003D55D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More study time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Earlier patient contact to facilitate knowledge acquisition</w:t>
            </w:r>
          </w:p>
          <w:p w:rsidR="003D55D7" w:rsidRPr="00007A9D" w:rsidRDefault="003D55D7" w:rsidP="003D55D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Better introduction to the clerkship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Small (2008)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&lt;EndNote&gt;&lt;Cite&gt;&lt;Author&gt;Small&lt;/Author&gt;&lt;Year&gt;2008&lt;/Year&gt;&lt;RecNum&gt;321&lt;/RecNum&gt;&lt;DisplayText&gt;[25]&lt;/DisplayText&gt;&lt;record&gt;&lt;rec-number&gt;321&lt;/rec-number&gt;&lt;foreign-keys&gt;&lt;key app="EN" db-id="9xd5ss2r8ezdt2eadeuxxpeoaffrpd5vdt2w" timestamp="1389052657"&gt;321&lt;/key&gt;&lt;/foreign-keys&gt;&lt;ref-type name="Journal Article"&gt;17&lt;/ref-type&gt;&lt;contributors&gt;&lt;authors&gt;&lt;author&gt;Small, R. M.&lt;/author&gt;&lt;author&gt;Soriano, R. P.&lt;/author&gt;&lt;author&gt;Chietero, M.&lt;/author&gt;&lt;author&gt;Quintana, J.&lt;/author&gt;&lt;author&gt;Parkas, V.&lt;/author&gt;&lt;author&gt;Koestler, J.&lt;/author&gt;&lt;/authors&gt;&lt;/contributors&gt;&lt;auth-address&gt;Department of Medical Education, Mount Sinai School of Medicine, New York, USA. risa.small@gmail.com&lt;/auth-address&gt;&lt;titles&gt;&lt;title&gt;Easing the transition: medical students&amp;apos; perceptions of critical skills required for the clerkships&lt;/title&gt;&lt;secondary-title&gt;Education for Health&lt;/secondary-title&gt;&lt;/titles&gt;&lt;periodical&gt;&lt;full-title&gt;Education for Health&lt;/full-title&gt;&lt;/periodical&gt;&lt;pages&gt;192&lt;/pages&gt;&lt;volume&gt;21&lt;/volume&gt;&lt;number&gt;3&lt;/number&gt;&lt;dates&gt;&lt;year&gt;2008&lt;/year&gt;&lt;/dates&gt;&lt;accession-num&gt;19967639&lt;/accession-num&gt;&lt;urls&gt;&lt;related-urls&gt;&lt;url&gt;http://ovidsp.ovid.com/ovidweb.cgi?T=JS&amp;amp;CSC=Y&amp;amp;NEWS=N&amp;amp;PAGE=fulltext&amp;amp;D=med4&amp;amp;AN=19967639&lt;/url&gt;&lt;url&gt;http://ea3se7mz8x.search.serialssolutions.com/?url_ver=Z39.88-2004&amp;amp;rft_val_fmt=info:ofi/fmt:kev:mtx:journal&amp;amp;rfr_id=info:sid/Ovid:med4&amp;amp;rft.genre=article&amp;amp;rft_id=info:doi/&amp;amp;rft_id=info:pmid/19967639&amp;amp;rft.issn=1357-6283&amp;amp;rft.volume=21&amp;amp;rft.issue=3&amp;amp;rft.spage=192&amp;amp;rft.pages=192&amp;amp;rft.date=2008&amp;amp;rft.jtitle=Education+for+Health&amp;amp;rft.atitle=Easing+the+transition%3A+medical+students%27+perceptions+of+critical+skills+required+for+the+clerkships.&amp;amp;rft.aulast=Small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[25]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To identify the skills medical students perceive as essential and those skill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AU"/>
              </w:rPr>
              <w:t>aras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AU"/>
              </w:rPr>
              <w:t xml:space="preserve"> students are most anxious about prior to starting clinical rotations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[cross-sectional]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AU"/>
              </w:rPr>
              <w:t>Flexnarian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AU"/>
              </w:rPr>
              <w:t>-based 4</w:t>
            </w: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-year graduate program; two years basic science non-PBL followed by two years clinical training; longitudinal clinical skills program during first two years including patient contact; 4-day clinical skills week prior to first clerkship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Paper-based survey consisted of 3 open-ended items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student cohorts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Preclinical students (end of Year 2)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N=93 (76%)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Clinical students (9</w:t>
            </w:r>
            <w:r w:rsidRPr="00007A9D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month of Year 3)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N=105 (90%)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Preclinical students”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Three most essential skills to be prepared for are history taking/ physical examination (73%), proficiency in oral case presentations (56%), generation of differential diagnosis (46%). Students were most anxious about oral presentations (30%)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Clinical students 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Three most essential skills were interpersonal skills (80%), history taking/physical examination ((37%), time management (26%). Students were most anxious about time management and self care (40%)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Issues differ before and after students have made the transition. Preclinical curriculum should be aligned with student experiences during the clerkship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Prince  (2000)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&lt;EndNote&gt;&lt;Cite&gt;&lt;Author&gt;Prince&lt;/Author&gt;&lt;Year&gt;2000&lt;/Year&gt;&lt;RecNum&gt;409&lt;/RecNum&gt;&lt;DisplayText&gt;[22]&lt;/DisplayText&gt;&lt;record&gt;&lt;rec-number&gt;409&lt;/rec-number&gt;&lt;foreign-keys&gt;&lt;key app="EN" db-id="9xd5ss2r8ezdt2eadeuxxpeoaffrpd5vdt2w" timestamp="1389323190"&gt;409&lt;/key&gt;&lt;/foreign-keys&gt;&lt;ref-type name="Journal Article"&gt;17&lt;/ref-type&gt;&lt;contributors&gt;&lt;authors&gt;&lt;author&gt;Prince, KatinkaJ A. H.&lt;/author&gt;&lt;author&gt;van de Wiel, Margaretha&lt;/author&gt;&lt;author&gt;Scherpbier, AlbertJ J. A.&lt;/author&gt;&lt;author&gt;can der Vleuten, CessP M.&lt;/author&gt;&lt;author&gt;Boshuizen, HennyP A.&lt;/author&gt;&lt;/authors&gt;&lt;/contributors&gt;&lt;titles&gt;&lt;title&gt;A Qualitative Analysis of the Transition from Theory to Practice in Undergraduate Training in a PBL-Medical School&lt;/title&gt;&lt;secondary-title&gt;Advances in Health Sciences Education&lt;/secondary-title&gt;&lt;alt-title&gt;Adv Health Sci Educ Theory Pract&lt;/alt-title&gt;&lt;/titles&gt;&lt;periodical&gt;&lt;full-title&gt;Advances in Health Sciences Education&lt;/full-title&gt;&lt;/periodical&gt;&lt;pages&gt;105-116&lt;/pages&gt;&lt;volume&gt;5&lt;/volume&gt;&lt;number&gt;2&lt;/number&gt;&lt;keywords&gt;&lt;keyword&gt;clerkships focus group&lt;/keyword&gt;&lt;keyword&gt;medical education&lt;/keyword&gt;&lt;keyword&gt;preclinical training&lt;/keyword&gt;&lt;keyword&gt;problem-based learning&lt;/keyword&gt;&lt;keyword&gt;transition&lt;/keyword&gt;&lt;/keywords&gt;&lt;dates&gt;&lt;year&gt;2000&lt;/year&gt;&lt;pub-dates&gt;&lt;date&gt;2000/05/01&lt;/date&gt;&lt;/pub-dates&gt;&lt;/dates&gt;&lt;publisher&gt;Kluwer Academic Publishers&lt;/publisher&gt;&lt;isbn&gt;1382-4996&lt;/isbn&gt;&lt;urls&gt;&lt;related-urls&gt;&lt;url&gt;http://dx.doi.org/10.1023/A%3A1009873003677&lt;/url&gt;&lt;/related-urls&gt;&lt;/urls&gt;&lt;electronic-resource-num&gt;10.1023/A:1009873003677&lt;/electronic-resource-num&gt;&lt;language&gt;English&lt;/language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[22]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Netherlands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 xml:space="preserve">To obtain a better insight into students’ experiences and opinions with regard to the transition from theory to practice 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[focus group]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PBL-bassed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6-year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undergraduate program; four years theory-oriented preclinical training</w:t>
            </w:r>
            <w:r>
              <w:rPr>
                <w:rFonts w:ascii="Arial" w:hAnsi="Arial" w:cs="Arial"/>
                <w:sz w:val="16"/>
                <w:szCs w:val="16"/>
              </w:rPr>
              <w:t xml:space="preserve"> (including clinical skills training)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and two years clinical clerkships; 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 xml:space="preserve">Random </w:t>
            </w:r>
            <w:proofErr w:type="spellStart"/>
            <w:r w:rsidRPr="00261FF3">
              <w:rPr>
                <w:rFonts w:ascii="Arial" w:hAnsi="Arial" w:cs="Arial"/>
                <w:sz w:val="16"/>
                <w:szCs w:val="16"/>
              </w:rPr>
              <w:t>select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261FF3">
              <w:rPr>
                <w:rFonts w:ascii="Arial" w:hAnsi="Arial" w:cs="Arial"/>
                <w:sz w:val="16"/>
                <w:szCs w:val="16"/>
              </w:rPr>
              <w:t>f</w:t>
            </w:r>
            <w:proofErr w:type="spellEnd"/>
            <w:r w:rsidRPr="00261FF3">
              <w:rPr>
                <w:rFonts w:ascii="Arial" w:hAnsi="Arial" w:cs="Arial"/>
                <w:sz w:val="16"/>
                <w:szCs w:val="16"/>
              </w:rPr>
              <w:t xml:space="preserve"> fifth-year students for focus groups of 2-hour duration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61FF3">
              <w:rPr>
                <w:rFonts w:ascii="Arial" w:hAnsi="Arial" w:cs="Arial"/>
                <w:sz w:val="16"/>
                <w:szCs w:val="16"/>
              </w:rPr>
              <w:t>ifth-year students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N=20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7M, 13F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Average time spent as clerks: 19.6 week (range 5-38) 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Themes involved in the transition from preclinical to the clerkship include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Transition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Contact with real patients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Knowledge</w:t>
            </w:r>
          </w:p>
          <w:p w:rsidR="003D55D7" w:rsidRDefault="003D55D7" w:rsidP="003D55D7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Practical skills</w:t>
            </w:r>
          </w:p>
          <w:p w:rsidR="003D55D7" w:rsidRPr="00007A9D" w:rsidRDefault="003D55D7" w:rsidP="003D55D7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Learning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Narrow the gap between theory and practice3 by offering more practical experiences in the preclinical [phase and some problem-based tutorials in the clinical phase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Dornan</w:t>
            </w:r>
            <w:r>
              <w:rPr>
                <w:rFonts w:ascii="Arial" w:hAnsi="Arial" w:cs="Arial"/>
                <w:sz w:val="16"/>
                <w:szCs w:val="16"/>
              </w:rPr>
              <w:t xml:space="preserve"> and Bundy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(2004)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&lt;EndNote&gt;&lt;Cite&gt;&lt;Author&gt;Dornan&lt;/Author&gt;&lt;Year&gt;2004&lt;/Year&gt;&lt;RecNum&gt;410&lt;/RecNum&gt;&lt;DisplayText&gt;[27]&lt;/DisplayText&gt;&lt;record&gt;&lt;rec-number&gt;410&lt;/rec-number&gt;&lt;foreign-keys&gt;&lt;key app="EN" db-id="9xd5ss2r8ezdt2eadeuxxpeoaffrpd5vdt2w" timestamp="1389323190"&gt;410&lt;/key&gt;&lt;/foreign-keys&gt;&lt;ref-type name="Journal Article"&gt;17&lt;/ref-type&gt;&lt;contributors&gt;&lt;authors&gt;&lt;author&gt;Tim Dornan&lt;/author&gt;&lt;author&gt;Chris Bundy&lt;/author&gt;&lt;/authors&gt;&lt;/contributors&gt;&lt;titles&gt;&lt;title&gt;What can experience add to early medical education? Consensus survey&lt;/title&gt;&lt;secondary-title&gt;BMJ&lt;/secondary-title&gt;&lt;/titles&gt;&lt;periodical&gt;&lt;full-title&gt;BMJ&lt;/full-title&gt;&lt;/periodical&gt;&lt;pages&gt;834&lt;/pages&gt;&lt;volume&gt;329&lt;/volume&gt;&lt;number&gt;7470&lt;/number&gt;&lt;dates&gt;&lt;year&gt;2004&lt;/year&gt;&lt;pub-dates&gt;&lt;date&gt;2004-10-07 00:00:00&lt;/date&gt;&lt;/pub-dates&gt;&lt;/dates&gt;&lt;urls&gt;&lt;pdf-urls&gt;&lt;url&gt;http://www.bmj.com/bmj/329/7470/834.full.pdf&lt;/url&gt;&lt;/pdf-urls&gt;&lt;/urls&gt;&lt;electronic-resource-num&gt;10.1136/bmj.329.7470.834&lt;/electronic-resource-num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[27]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UK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provide a rationale for integrating experience into early medical education (“early experience”)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[grounded theory analysis of semi-structured group interviews]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Three medical schools in the UK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 xml:space="preserve">semi-structured </w:t>
            </w:r>
            <w:r>
              <w:rPr>
                <w:rFonts w:ascii="Arial" w:hAnsi="Arial" w:cs="Arial"/>
                <w:sz w:val="16"/>
                <w:szCs w:val="16"/>
              </w:rPr>
              <w:t xml:space="preserve">group interviews; </w:t>
            </w:r>
            <w:r w:rsidRPr="00261FF3">
              <w:rPr>
                <w:rFonts w:ascii="Arial" w:hAnsi="Arial" w:cs="Arial"/>
                <w:sz w:val="16"/>
                <w:szCs w:val="16"/>
              </w:rPr>
              <w:t>staff and students attended separate sessions</w:t>
            </w:r>
            <w:r>
              <w:rPr>
                <w:rFonts w:ascii="Arial" w:hAnsi="Arial" w:cs="Arial"/>
                <w:sz w:val="16"/>
                <w:szCs w:val="16"/>
              </w:rPr>
              <w:t>; grounded theory analysis0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Purposeful sampling of </w:t>
            </w:r>
            <w:r w:rsidRPr="00261FF3">
              <w:rPr>
                <w:rFonts w:ascii="Arial" w:hAnsi="Arial" w:cs="Arial"/>
                <w:sz w:val="16"/>
                <w:szCs w:val="16"/>
              </w:rPr>
              <w:t>33 students from various years and 31 staff representing various curriculum aspects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rationale for early experience would be to ease the transition; make students more confident to approach patients; motivate them; increase their awareness of themselves and others; contextualize their theoretical knowledge; teach intellectual skills; strengthen learning of behavioural and social sciences; teach them about the role of health professionals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Without early clinical experiences, the curriculum was socially isolating and divorced from clinical practice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O’Brien (2007)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&lt;EndNote&gt;&lt;Cite&gt;&lt;Author&gt;O&amp;apos;Brien&lt;/Author&gt;&lt;Year&gt;2007&lt;/Year&gt;&lt;RecNum&gt;397&lt;/RecNum&gt;&lt;DisplayText&gt;[24]&lt;/DisplayText&gt;&lt;record&gt;&lt;rec-number&gt;397&lt;/rec-number&gt;&lt;foreign-keys&gt;&lt;key app="EN" db-id="9xd5ss2r8ezdt2eadeuxxpeoaffrpd5vdt2w" timestamp="1389056747"&gt;397&lt;/key&gt;&lt;/foreign-keys&gt;&lt;ref-type name="Journal Article"&gt;17&lt;/ref-type&gt;&lt;contributors&gt;&lt;authors&gt;&lt;author&gt;O&amp;apos;Brien, B.&lt;/author&gt;&lt;author&gt;Cooke, M.&lt;/author&gt;&lt;author&gt;Irby, D. M.&lt;/author&gt;&lt;/authors&gt;&lt;/contributors&gt;&lt;auth-address&gt;The Carnegie Foundation for the Advancement of Teaching, Stanford, California 94305, USA. OBrien@carnegiefoundation.org&lt;/auth-address&gt;&lt;titles&gt;&lt;title&gt;Perceptions and attributions of third-year student struggles in clerkships: do students and clerkship directors agree?&lt;/title&gt;&lt;secondary-title&gt;Acad Med&lt;/secondary-title&gt;&lt;alt-title&gt;Academic medicine : journal of the Association of American Medical Colleges&lt;/alt-title&gt;&lt;/titles&gt;&lt;alt-periodical&gt;&lt;full-title&gt;Academic medicine : journal of the Association of American Medical Colleges&lt;/full-title&gt;&lt;/alt-periodical&gt;&lt;pages&gt;970-8&lt;/pages&gt;&lt;volume&gt;82&lt;/volume&gt;&lt;number&gt;10&lt;/number&gt;&lt;edition&gt;2007/09/27&lt;/edition&gt;&lt;keywords&gt;&lt;keyword&gt;Attitude of Health Personnel&lt;/keyword&gt;&lt;keyword&gt;California&lt;/keyword&gt;&lt;keyword&gt;Clinical Clerkship&lt;/keyword&gt;&lt;keyword&gt;Clinical Competence&lt;/keyword&gt;&lt;keyword&gt;Education, Medical&lt;/keyword&gt;&lt;keyword&gt;Health Surveys&lt;/keyword&gt;&lt;keyword&gt;Humans&lt;/keyword&gt;&lt;keyword&gt;Perception&lt;/keyword&gt;&lt;keyword&gt;Questionnaires&lt;/keyword&gt;&lt;keyword&gt;Research Design&lt;/keyword&gt;&lt;keyword&gt;Specialization&lt;/keyword&gt;&lt;keyword&gt;Students, Medical/ psychology&lt;/keyword&gt;&lt;/keywords&gt;&lt;dates&gt;&lt;year&gt;2007&lt;/year&gt;&lt;pub-dates&gt;&lt;date&gt;Oct&lt;/date&gt;&lt;/pub-dates&gt;&lt;/dates&gt;&lt;isbn&gt;1040-2446 (Print)&amp;#xD;1040-2446 (Linking)&lt;/isbn&gt;&lt;accession-num&gt;17895662&lt;/accession-num&gt;&lt;urls&gt;&lt;/urls&gt;&lt;electronic-resource-num&gt;10.1097/ACM.0b013e31814a4fd5&lt;/electronic-resource-num&gt;&lt;remote-database-provider&gt;NLM&lt;/remote-database-provider&gt;&lt;language&gt;eng&lt;/language&gt;&lt;/record&gt;&lt;/Cite&gt;&lt;/EndNote&gt;</w:instrTex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[24]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USA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explore the relationship between students’ and clerkship directors’ perceptions of students’ struggles with the transition to clerkship.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[focus groups]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Ten US Medical Schools – details on curricul</w:t>
            </w:r>
            <w:r>
              <w:rPr>
                <w:rFonts w:ascii="Arial" w:hAnsi="Arial" w:cs="Arial"/>
                <w:sz w:val="16"/>
                <w:szCs w:val="16"/>
                <w:lang w:val="en-AU"/>
              </w:rPr>
              <w:t>a</w:t>
            </w: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 xml:space="preserve"> not provided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 xml:space="preserve">Data obtained from a large national study; responses </w:t>
            </w:r>
            <w:r>
              <w:rPr>
                <w:rFonts w:ascii="Arial" w:hAnsi="Arial" w:cs="Arial"/>
                <w:sz w:val="16"/>
                <w:szCs w:val="16"/>
              </w:rPr>
              <w:t xml:space="preserve">gained </w:t>
            </w:r>
            <w:r w:rsidRPr="00261FF3">
              <w:rPr>
                <w:rFonts w:ascii="Arial" w:hAnsi="Arial" w:cs="Arial"/>
                <w:sz w:val="16"/>
                <w:szCs w:val="16"/>
              </w:rPr>
              <w:t>from 16 interviews and 8 focus groups with clerkship directors and 11 focus groups with clerkship students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83 clerkship students and 65 clerkship directors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Students reported difficulties understanding roles and responsibilities, adjusting to clinical cultures, performing clinical skills, learning the logistics of clinical settings, encountering frequent changes in staff, settings and content.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Clerkship directors identified students struggle with roles and responsibilities, performing clinical skills, adjusting to clinical cultures, difficulties applying knowledge to clinical reasoning and engaging in self-directed learning 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Curricula and teaching strategies should be focused on areas which are not congruent between students and clerkship directors</w:t>
            </w:r>
          </w:p>
        </w:tc>
      </w:tr>
      <w:tr w:rsidR="003D55D7" w:rsidRPr="00261FF3" w:rsidTr="00BA48DC"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61FF3">
              <w:rPr>
                <w:rFonts w:ascii="Arial" w:hAnsi="Arial" w:cs="Arial"/>
                <w:sz w:val="16"/>
                <w:szCs w:val="16"/>
              </w:rPr>
              <w:t>Godefrooij</w:t>
            </w:r>
            <w:proofErr w:type="spellEnd"/>
            <w:r w:rsidRPr="00261FF3">
              <w:rPr>
                <w:rFonts w:ascii="Arial" w:hAnsi="Arial" w:cs="Arial"/>
                <w:sz w:val="16"/>
                <w:szCs w:val="16"/>
              </w:rPr>
              <w:t xml:space="preserve"> (2010)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PEVuZE5vdGU+PENpdGU+PEF1dGhvcj5Hb2RlZnJvb2lqPC9BdXRob3I+PFllYXI+MjAxMDwvWWVh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PEVuZE5vdGU+PENpdGU+PEF1dGhvcj5Hb2RlZnJvb2lqPC9BdXRob3I+PFllYXI+MjAxMDwvWWVh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CF03DB">
              <w:rPr>
                <w:rFonts w:ascii="Arial" w:hAnsi="Arial" w:cs="Arial"/>
                <w:sz w:val="16"/>
                <w:szCs w:val="16"/>
              </w:rPr>
            </w:r>
            <w:r w:rsidR="00CF03D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[26]</w:t>
            </w:r>
            <w:r w:rsidR="00CF03DB" w:rsidRPr="00261FF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3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261FF3">
              <w:rPr>
                <w:rFonts w:ascii="Arial" w:hAnsi="Arial" w:cs="Arial"/>
                <w:sz w:val="16"/>
                <w:szCs w:val="16"/>
              </w:rPr>
              <w:t>Netherlands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261FF3">
              <w:rPr>
                <w:rFonts w:ascii="Arial" w:hAnsi="Arial" w:cs="Arial"/>
                <w:sz w:val="16"/>
                <w:szCs w:val="16"/>
                <w:lang w:val="en-AU"/>
              </w:rPr>
              <w:t>To explore how students who have had preclinical patient contacts perceive the transition to clinical training and how they value these early patient contacts as preparation for learning in clinical practice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  <w:lang w:val="en-AU"/>
              </w:rPr>
              <w:t>[focus group with data analysed using qualitative content analysis]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PBL-based 6-</w:t>
            </w:r>
            <w:r w:rsidRPr="00261FF3">
              <w:rPr>
                <w:rFonts w:ascii="Arial" w:hAnsi="Arial" w:cs="Arial"/>
                <w:sz w:val="16"/>
                <w:szCs w:val="16"/>
              </w:rPr>
              <w:t>-year undergraduate program; four years theory-oriented preclinical training</w:t>
            </w:r>
            <w:r>
              <w:rPr>
                <w:rFonts w:ascii="Arial" w:hAnsi="Arial" w:cs="Arial"/>
                <w:sz w:val="16"/>
                <w:szCs w:val="16"/>
              </w:rPr>
              <w:t xml:space="preserve"> with clinical skills training)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and two years clinical clerkships;</w:t>
            </w:r>
            <w:r>
              <w:rPr>
                <w:rFonts w:ascii="Arial" w:hAnsi="Arial" w:cs="Arial"/>
                <w:sz w:val="16"/>
                <w:szCs w:val="16"/>
              </w:rPr>
              <w:t xml:space="preserve"> early contact with patients in Year 3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61FF3">
              <w:rPr>
                <w:rFonts w:ascii="Arial" w:hAnsi="Arial" w:cs="Arial"/>
                <w:sz w:val="16"/>
                <w:szCs w:val="16"/>
              </w:rPr>
              <w:t>ocus group interviews</w:t>
            </w:r>
            <w:r>
              <w:rPr>
                <w:rFonts w:ascii="Arial" w:hAnsi="Arial" w:cs="Arial"/>
                <w:sz w:val="16"/>
                <w:szCs w:val="16"/>
              </w:rPr>
              <w:t xml:space="preserve"> of 1.5 hours in duration, 2 focus groups were conducted with each of the 3 groups (for theoretical saturation)</w:t>
            </w:r>
          </w:p>
        </w:tc>
        <w:tc>
          <w:tcPr>
            <w:tcW w:w="1732" w:type="dxa"/>
          </w:tcPr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61FF3">
              <w:rPr>
                <w:rFonts w:ascii="Arial" w:hAnsi="Arial" w:cs="Arial"/>
                <w:sz w:val="16"/>
                <w:szCs w:val="16"/>
              </w:rPr>
              <w:t xml:space="preserve">lerkship </w:t>
            </w:r>
            <w:r>
              <w:rPr>
                <w:rFonts w:ascii="Arial" w:hAnsi="Arial" w:cs="Arial"/>
                <w:sz w:val="16"/>
                <w:szCs w:val="16"/>
              </w:rPr>
              <w:t xml:space="preserve">(Year 4) </w:t>
            </w:r>
            <w:r w:rsidRPr="00261FF3">
              <w:rPr>
                <w:rFonts w:ascii="Arial" w:hAnsi="Arial" w:cs="Arial"/>
                <w:sz w:val="16"/>
                <w:szCs w:val="16"/>
              </w:rPr>
              <w:t>students</w:t>
            </w:r>
            <w:r>
              <w:rPr>
                <w:rFonts w:ascii="Arial" w:hAnsi="Arial" w:cs="Arial"/>
                <w:sz w:val="16"/>
                <w:szCs w:val="16"/>
              </w:rPr>
              <w:t xml:space="preserve"> who had completed 1 full week of their first rotation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N=21</w:t>
            </w:r>
          </w:p>
          <w:p w:rsidR="003D55D7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Gender: 7M, 14F</w:t>
            </w:r>
          </w:p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Students reported increase in stress due to increased working hours and workload, uncertainty of what is expected of them and self-perceived lack of knowledge</w:t>
            </w:r>
          </w:p>
        </w:tc>
        <w:tc>
          <w:tcPr>
            <w:tcW w:w="1732" w:type="dxa"/>
          </w:tcPr>
          <w:p w:rsidR="003D55D7" w:rsidRPr="00261FF3" w:rsidRDefault="003D55D7" w:rsidP="00BA48DC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2F1E" w:rsidRDefault="00AF2F1E">
      <w:bookmarkStart w:id="0" w:name="_GoBack"/>
      <w:bookmarkEnd w:id="0"/>
    </w:p>
    <w:sectPr w:rsidR="00AF2F1E" w:rsidSect="003D55D7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2783"/>
    <w:multiLevelType w:val="hybridMultilevel"/>
    <w:tmpl w:val="13AE3B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D61D90"/>
    <w:multiLevelType w:val="hybridMultilevel"/>
    <w:tmpl w:val="BEF8C9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5620C8"/>
    <w:multiLevelType w:val="hybridMultilevel"/>
    <w:tmpl w:val="98662E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9A4B09"/>
    <w:multiLevelType w:val="hybridMultilevel"/>
    <w:tmpl w:val="618A6C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>
    <w:useFELayout/>
  </w:compat>
  <w:rsids>
    <w:rsidRoot w:val="003D55D7"/>
    <w:rsid w:val="002566FF"/>
    <w:rsid w:val="003D55D7"/>
    <w:rsid w:val="00AF2F1E"/>
    <w:rsid w:val="00CF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55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5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55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5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2810</Words>
  <Characters>16021</Characters>
  <Application>Microsoft Office Word</Application>
  <DocSecurity>0</DocSecurity>
  <Lines>133</Lines>
  <Paragraphs>37</Paragraphs>
  <ScaleCrop>false</ScaleCrop>
  <Company>UWS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Surmon</dc:creator>
  <cp:keywords/>
  <dc:description/>
  <cp:lastModifiedBy>msojor</cp:lastModifiedBy>
  <cp:revision>2</cp:revision>
  <dcterms:created xsi:type="dcterms:W3CDTF">2015-11-06T04:01:00Z</dcterms:created>
  <dcterms:modified xsi:type="dcterms:W3CDTF">2016-03-09T03:34:00Z</dcterms:modified>
</cp:coreProperties>
</file>