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0BB" w:rsidRDefault="00E310BB" w:rsidP="00E310BB">
      <w:pPr>
        <w:pStyle w:val="Kop1"/>
      </w:pPr>
      <w:r w:rsidRPr="00FA7234">
        <w:t>e-intervention</w:t>
      </w:r>
      <w:r w:rsidR="005F2B12">
        <w:t xml:space="preserve">: </w:t>
      </w:r>
      <w:r w:rsidR="003D439D">
        <w:t>p</w:t>
      </w:r>
      <w:r w:rsidR="005F2B12">
        <w:t>rescribing BZDs</w:t>
      </w:r>
      <w:bookmarkStart w:id="0" w:name="_GoBack"/>
      <w:bookmarkEnd w:id="0"/>
    </w:p>
    <w:tbl>
      <w:tblPr>
        <w:tblpPr w:leftFromText="141" w:rightFromText="141" w:vertAnchor="page" w:horzAnchor="margin" w:tblpY="262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E310BB" w:rsidRPr="00FA7234" w:rsidTr="005F2B12">
        <w:tc>
          <w:tcPr>
            <w:tcW w:w="10031" w:type="dxa"/>
            <w:shd w:val="clear" w:color="auto" w:fill="auto"/>
          </w:tcPr>
          <w:p w:rsidR="00D46D59" w:rsidRPr="00557A57" w:rsidRDefault="00D46D59" w:rsidP="00D46D59">
            <w:r w:rsidRPr="00557A57">
              <w:t>Avoiding initial BZD prescription and using alternative, non-pharmacological treatment strategies for patients suffering insomnia was the core focus of the intervention. Specifically, the module aspired to address to GPs ambivalent attitudes and perceptions, which are known to determine their prescribing practices</w:t>
            </w:r>
            <w:r>
              <w:t xml:space="preserve"> </w:t>
            </w:r>
            <w:r w:rsidRPr="00700C25">
              <w:t>[</w:t>
            </w:r>
            <w:r>
              <w:fldChar w:fldCharType="begin" w:fldLock="1"/>
            </w:r>
            <w:r>
              <w:instrText>ADDIN CSL_CITATION { "citationItems" : [ { "id" : "ITEM-1", "itemData" : { "DOI" : "10.1186/1471-2296-14-191", "ISBN" : "1471229614191", "ISSN" : "1471-2296", "PMID" : "24330388", "abstract" : "BACKGROUND: Benzodiazepines are often prescribed long-term inappropriately. We aimed to systematically review and meta-synthesise qualitative studies exploring clinicians' experiences and perceptions of benzodiazepine prescribing to build an explanatory model of processes underlying current prescribing practices.\\n\\nMETHODS: We searched seven electronic databases for qualitative studies in Western primary care settings published in a European language between January 1990 and August 2011 analysing GP or practice nurse experiences of benzodiazepine prescribing. We assessed study quality using the Critical Appraisal Skills Programme Checklist. We analysed findings using thematic synthesis.\\n\\nRESULTS: We included eight studies from seven countries published between 1993 and 2010. Benzodiazepine prescribing decisions are complex, uncomfortable, and demanding, taken within the constraints of daily general practice. Different GPs varied in the extent to which they were willing to prescribe benzodiazepines, and individual GPs' approaches also varied. GPs were ambivalent in their attitude towards prescribing benzodiazepines and inconsistently applied management strategies for their use. This was due to the changing context of prescribing, differing perceptions of the role and responsibility of the GP, variation in GPs' attitudes to benzodiazepines, perceived lack of alternative treatment options, GPs' perception of patient expectations and the doctor-patient relationship. GPs faced different challenges in managing initiation, continuation and withdrawal of benzodiazepines.\\n\\nCONCLUSION: We have developed a model which could be used to inform future interventions to improve adherence to benzodiazepine prescribing guidance and improve prescribing through education and training of professionals on benzodiazepine use and withdrawal, greater provision of alternatives to drugs, reflective practice, and better communication with patients.", "author" : [ { "dropping-particle" : "", "family" : "Sirdifield", "given" : "Coral", "non-dropping-particle" : "", "parse-names" : false, "suffix" : "" }, { "dropping-particle" : "", "family" : "Anthierens", "given" : "Sibyl", "non-dropping-particle" : "", "parse-names" : false, "suffix" : "" }, { "dropping-particle" : "", "family" : "Creupelandt", "given" : "Hanne", "non-dropping-particle" : "", "parse-names" : false, "suffix" : "" }, { "dropping-particle" : "", "family" : "Chipchase", "given" : "Susan Y", "non-dropping-particle" : "", "parse-names" : false, "suffix" : "" }, { "dropping-particle" : "", "family" : "Christiaens", "given" : "Thierry", "non-dropping-particle" : "", "parse-names" : false, "suffix" : "" }, { "dropping-particle" : "", "family" : "Siriwardena", "given" : "Aloysius Niroshan", "non-dropping-particle" : "", "parse-names" : false, "suffix" : "" } ], "container-title" : "BMC family practice", "id" : "ITEM-1", "issued" : { "date-parts" : [ [ "2013" ] ] }, "page" : "191", "title" : "General practitioners' experiences and perceptions of benzodiazepine prescribing: systematic review and meta-synthesis.", "type" : "article-journal", "volume" : "14" }, "uris" : [ "http://www.mendeley.com/documents/?uuid=9eeba47b-b3d3-4934-a141-6a0bd0430204" ] } ], "mendeley" : { "formattedCitation" : "&lt;sup&gt;11&lt;/sup&gt;", "plainTextFormattedCitation" : "11", "previouslyFormattedCitation" : "&lt;sup&gt;11&lt;/sup&gt;" }, "properties" : { "noteIndex" : 0 }, "schema" : "https://github.com/citation-style-language/schema/raw/master/csl-citation.json" }</w:instrText>
            </w:r>
            <w:r>
              <w:fldChar w:fldCharType="separate"/>
            </w:r>
            <w:r w:rsidRPr="00700C25">
              <w:t>11</w:t>
            </w:r>
            <w:r>
              <w:fldChar w:fldCharType="end"/>
            </w:r>
            <w:r w:rsidRPr="00700C25">
              <w:t>]</w:t>
            </w:r>
            <w:r>
              <w:t xml:space="preserve"> </w:t>
            </w:r>
            <w:r w:rsidRPr="00557A57">
              <w:t xml:space="preserve">and not merely focus on GPs acquiring knowledge. </w:t>
            </w:r>
            <w:r w:rsidRPr="00557A57">
              <w:tab/>
            </w:r>
          </w:p>
          <w:p w:rsidR="00D46D59" w:rsidRDefault="00D46D59" w:rsidP="00D46D59">
            <w:r>
              <w:t>The e</w:t>
            </w:r>
            <w:r w:rsidRPr="00557A57">
              <w:t>-module could be accessed online and participants could choose freely whether they completed the module at once or in several stages. Though some suggestions were offered by the authors, participants were also given the autonomy to choose the order and amount of time they spent on several items and chapters. The module was developed within a familiar format for GPs, creating a feeling of relatedness: participants met several virtual patients who were waiting for them in the waiting room of a general medical practice. Through video-consultations, trainees were shown the pitfalls of BZD prescriptions and how non-pharmacological alternatives can be used wit</w:t>
            </w:r>
            <w:r>
              <w:t>hin the consultation room. The e</w:t>
            </w:r>
            <w:r w:rsidRPr="00557A57">
              <w:t>-module provided training in enhanced communication skills. GPs were also provided with several tools and docu</w:t>
            </w:r>
            <w:r>
              <w:t>ments that could support them</w:t>
            </w:r>
            <w:r w:rsidRPr="00557A57">
              <w:t>.</w:t>
            </w:r>
          </w:p>
          <w:p w:rsidR="00D46D59" w:rsidRPr="00A011D9" w:rsidRDefault="00D46D59" w:rsidP="00D46D59">
            <w:pPr>
              <w:pStyle w:val="Lijstalinea"/>
              <w:numPr>
                <w:ilvl w:val="0"/>
                <w:numId w:val="1"/>
              </w:numPr>
            </w:pPr>
            <w:r w:rsidRPr="00A011D9">
              <w:t xml:space="preserve">The ‘ICE model of communication’ encourages GPs to explore patients ideas, concerns, and expectations about diagnosis and/or treatment (the ICE acronym) and exemplifies a patient-centered approach </w:t>
            </w:r>
            <w:r w:rsidRPr="00700C25">
              <w:t>[</w:t>
            </w:r>
            <w:r w:rsidRPr="00A011D9">
              <w:fldChar w:fldCharType="begin" w:fldLock="1"/>
            </w:r>
            <w:r>
              <w:instrText>ADDIN CSL_CITATION { "citationItems" : [ { "id" : "ITEM-1", "itemData" : { "DOI" : "10.3399/bjgp09X394833", "ISBN" : "1478-5242 (Electronic)\\r0960-1643 (Linking)", "ISSN" : "09601643", "PMID" : "19105913", "abstract" : "BACKGROUND: Although studies are available on patients' ideas, concerns, and expectations in primary care, there is a scarcity of studies that explore the triad of ideas, concerns, and expectations (ICE) in general practice consultations and the impact on medication prescribing.\\n\\nAIM: To evaluate the presence of ICE and its relation to medication prescription.\\n\\nDESIGN OF STUDY: Cross-sectional study.\\n\\nSETTING: Thirty-six GP teaching practices affiliated with the University of Ghent, in Flanders, Belgium.\\n\\nMETHOD: Participants were all patients consulting on 30 May 2005, and their doctors. Reasons for an encounter (consultation or home visit) with new and follow-up contacts, the identification of ICE, and the prescription of medication were recorded by 36 trainee GPs undergoing observational training. The study included 613 consultations.\\n\\nRESULTS: One, two, or three of the ICE components were expressed in 38.5%, 24.4%, and 20.1% (n = 236, 150, 123) of contacts respectively. On the other hand, in 17.0% (104/613) of all contacts, and in 22% (77/350) of the new contact reasons, no ICE was voiced, and the GPs operated without knowing this information about the patients. Mean number of ICE components per doctor and per contact was 1.54 (standard deviation = 0.54). A logistic regression analysis of the 350 new contacts showed that the presence of concerns (P = 0.037, odds ratio [OR] 1.73, 95% confidence interval [CI] = 1.03 to 2.9), and expectations (P = 0.009, OR = 2.0, 95% CI = 1.2 to 3.4) was associated with not prescribing new medication (dichotomised into the categories present/absent); however, other patient, doctor, and student variables were not significantly associated with medication prescription.\\n\\nCONCLUSION: An association was found between the presence of concerns and/or expectations, and less medication prescribing. The data suggest that exploring ICE components may lead to fewer new medication prescriptions.", "author" : [ { "dropping-particle" : "", "family" : "Matthys", "given" : "Jan", "non-dropping-particle" : "", "parse-names" : false, "suffix" : "" }, { "dropping-particle" : "", "family" : "Elwyn", "given" : "Glyn", "non-dropping-particle" : "", "parse-names" : false, "suffix" : "" }, { "dropping-particle" : "", "family" : "Nuland", "given" : "Marc", "non-dropping-particle" : "Van", "parse-names" : false, "suffix" : "" }, { "dropping-particle" : "", "family" : "Maele", "given" : "Georges", "non-dropping-particle" : "Van", "parse-names" : false, "suffix" : "" }, { "dropping-particle" : "", "family" : "Sutter", "given" : "An", "non-dropping-particle" : "De", "parse-names" : false, "suffix" : "" }, { "dropping-particle" : "", "family" : "Meyere", "given" : "Marc", "non-dropping-particle" : "De", "parse-names" : false, "suffix" : "" }, { "dropping-particle" : "", "family" : "Deveugele", "given" : "Myriam", "non-dropping-particle" : "", "parse-names" : false, "suffix" : "" } ], "container-title" : "British Journal of General Practice", "id" : "ITEM-1", "issue" : "558", "issued" : { "date-parts" : [ [ "2009" ] ] }, "page" : "29-36", "title" : "Patients' ideas, concerns, and expectations (ICE) in general practice: Impact on prescribing", "type" : "article-journal", "volume" : "59" }, "uris" : [ "http://www.mendeley.com/documents/?uuid=b7b71768-fd0c-410d-906b-1b4c4f22455a" ] } ], "mendeley" : { "formattedCitation" : "&lt;sup&gt;29&lt;/sup&gt;", "plainTextFormattedCitation" : "29", "previouslyFormattedCitation" : "&lt;sup&gt;29&lt;/sup&gt;" }, "properties" : { "noteIndex" : 0 }, "schema" : "https://github.com/citation-style-language/schema/raw/master/csl-citation.json" }</w:instrText>
            </w:r>
            <w:r w:rsidRPr="00A011D9">
              <w:fldChar w:fldCharType="separate"/>
            </w:r>
            <w:r w:rsidRPr="00700C25">
              <w:t>29</w:t>
            </w:r>
            <w:r w:rsidRPr="00A011D9">
              <w:fldChar w:fldCharType="end"/>
            </w:r>
            <w:r w:rsidRPr="00700C25">
              <w:t>]</w:t>
            </w:r>
            <w:r w:rsidRPr="00A011D9">
              <w:t xml:space="preserve">. </w:t>
            </w:r>
          </w:p>
          <w:p w:rsidR="00D46D59" w:rsidRPr="00A011D9" w:rsidRDefault="00D46D59" w:rsidP="00D46D59">
            <w:pPr>
              <w:pStyle w:val="Lijstalinea"/>
              <w:numPr>
                <w:ilvl w:val="0"/>
                <w:numId w:val="1"/>
              </w:numPr>
            </w:pPr>
            <w:r w:rsidRPr="00A011D9">
              <w:t>‘Sleep hygiene education’ refers to educating patients about healthy sleep behaviors and sleep-conducive environmental conditions</w:t>
            </w:r>
            <w:r>
              <w:t xml:space="preserve"> </w:t>
            </w:r>
            <w:r w:rsidRPr="00700C25">
              <w:t>[</w:t>
            </w:r>
            <w:r w:rsidRPr="00A011D9">
              <w:fldChar w:fldCharType="begin" w:fldLock="1"/>
            </w:r>
            <w:r>
              <w:instrText>ADDIN CSL_CITATION { "citationItems" : [ { "id" : "ITEM-1", "itemData" : { "DOI" : "10.1053/smrv.2001.0246", "ISBN" : "1087-0792", "ISSN" : "10870792", "PMID" : "12927121", "abstract" : "Sleep hygiene (SH) refers to a list of behaviors, environmental conditions, and other sleep-related factors that can be adjusted as a stand-alone treatment or component of multimodal treatment for patients with insomnia. This paper presents a review of SH, how this concept has been applied and often modified over the past 24 years, and how it relates to the modern sleep disorder nosology, particularly Inadequate Sleep Hygiene. Although a recognized and commonly utilized treatment option, there is no absolute consensus about which steps must be included to constitute SH treatment, and there is much overlap between SH and other cognitive-behavioral treatments for insomnia such as Stimulus Control Procedures and Sleep Restriction Therapy. The literature on the effects of manipulations of individual components of SH under experimental conditions (e.g. effects of presleep alcohol or caffeine intake) in normal sleepers show mixed results. Empirical data demonstrating the role of poor SH as a contributor to insomnia, or showing that good SH improves sleep in patients with insomnia, is not available. Instead of evaluating the impact of a comprehensive list of SH recommendations, a focus on guidelines for use of individual rules is needed. \u00a9 2003 Elsevier Science Ltd. All rights reserved.", "author" : [ { "dropping-particle" : "", "family" : "Stepanski", "given" : "Edward J.", "non-dropping-particle" : "", "parse-names" : false, "suffix" : "" }, { "dropping-particle" : "", "family" : "Wyatt", "given" : "James K.", "non-dropping-particle" : "", "parse-names" : false, "suffix" : "" } ], "container-title" : "Sleep Medicine Reviews", "id" : "ITEM-1", "issue" : "3", "issued" : { "date-parts" : [ [ "2003" ] ] }, "page" : "215-225", "title" : "Use of sleep hygiene in the treatment of insomnia", "type" : "article-journal", "volume" : "7" }, "uris" : [ "http://www.mendeley.com/documents/?uuid=7c2789af-3cc8-4452-9d5a-1ea33180984e" ] }, { "id" : "ITEM-2", "itemData" : { "DOI" : "10.1016/j.cpr.2005.04.003", "ISBN" : "0272-7358 (Print)\\n0272-7358 (Linking)", "ISSN" : "02727358", "PMID" : "15951083", "abstract" : "Primary insomnia (PI) is a prevalent form of sleep difficulty that impairs diurnal functioning, reduces quality of life and enhances health care utilization/costs for millions worldwide. Whereas the underlying pathophysiology of PI remains poorly understood, it is widely accepted that a host of cognitive and behavioral factors play important roles in perpetuating this condition. As such, a multi-factorial, cognitive-behavioral therapy (CBT) has emerged as a \"treatment of choice\" for managing the sleep/wake complaints of PI sufferers. This article considers the nature and relative merits of CBT for treating PI patients. In addition, this article reviews studies supporting the general efficacy and clinical effectiveness of CBT for treating PI complaints. Issues related to treatment implementation as well as factors that mediate patients' responses to CBT and predict treatment acceptance/outcome are also considered. Finally, remaining questions regarding CBT's application to PI are considered, and suggestions for future research are provided.", "author" : [ { "dropping-particle" : "", "family" : "Edinger", "given" : "Jack D.", "non-dropping-particle" : "", "parse-names" : false, "suffix" : "" }, { "dropping-particle" : "", "family" : "Means", "given" : "Melanie K.", "non-dropping-particle" : "", "parse-names" : false, "suffix" : "" } ], "container-title" : "Clinical Psychology Review", "id" : "ITEM-2", "issue" : "5", "issued" : { "date-parts" : [ [ "2005" ] ] }, "page" : "539-558", "title" : "Cognitive-behavioral therapy for primary insomnia", "type" : "article-journal", "volume" : "25" }, "uris" : [ "http://www.mendeley.com/documents/?uuid=ccadd83a-357c-40ac-9d47-79a76925054a" ] } ], "mendeley" : { "formattedCitation" : "&lt;sup&gt;30,31&lt;/sup&gt;", "plainTextFormattedCitation" : "30,31", "previouslyFormattedCitation" : "&lt;sup&gt;30,31&lt;/sup&gt;" }, "properties" : { "noteIndex" : 0 }, "schema" : "https://github.com/citation-style-language/schema/raw/master/csl-citation.json" }</w:instrText>
            </w:r>
            <w:r w:rsidRPr="00A011D9">
              <w:fldChar w:fldCharType="separate"/>
            </w:r>
            <w:r w:rsidRPr="00700C25">
              <w:t>30,31</w:t>
            </w:r>
            <w:r w:rsidRPr="00A011D9">
              <w:fldChar w:fldCharType="end"/>
            </w:r>
            <w:r w:rsidRPr="00700C25">
              <w:t>]</w:t>
            </w:r>
            <w:r w:rsidRPr="00A011D9">
              <w:t>.</w:t>
            </w:r>
          </w:p>
          <w:p w:rsidR="00D46D59" w:rsidRPr="00A011D9" w:rsidRDefault="00D46D59" w:rsidP="00D46D59">
            <w:pPr>
              <w:pStyle w:val="Lijstalinea"/>
              <w:numPr>
                <w:ilvl w:val="0"/>
                <w:numId w:val="1"/>
              </w:numPr>
            </w:pPr>
            <w:r w:rsidRPr="00A011D9">
              <w:t xml:space="preserve">The ‘Stress-vulnerability model’ (diathesis–stress model) is a model that suggests that people inherit a predisposition to mental illness, but this ‘vulnerability’ in itself is not sufficient to manifest the disorder and requires interaction with bio)psychosocial </w:t>
            </w:r>
            <w:r w:rsidRPr="00A011D9">
              <w:lastRenderedPageBreak/>
              <w:t>stressors</w:t>
            </w:r>
            <w:r>
              <w:t xml:space="preserve"> </w:t>
            </w:r>
            <w:r w:rsidRPr="00700C25">
              <w:t>[</w:t>
            </w:r>
            <w:r w:rsidRPr="00A011D9">
              <w:fldChar w:fldCharType="begin" w:fldLock="1"/>
            </w:r>
            <w:r>
              <w:instrText>ADDIN CSL_CITATION { "citationItems" : [ { "id" : "ITEM-1", "itemData" : { "abstract" : "Reviews the 6 approaches to etiology that now preempt the field\u2014ecological, developmental, learning, genetic, internal environment, and neurophysiological models\u2014and proposes a 2nd-order model, vulnerability, as the common denominator. Methods are suggested for finding markers of vulnerability in the hope of revitalizing the field. It is assumed that exogenous and/or endogenous challengers elicit a crisis in all humans, but depending on the intensity of the elicited stress and the threshold for tolerating it (i.e., one's vulnerability), the crisis will either be contained homeostatically or lead to an episode of disorder. Vulnerability and episode stand in a trait\u2013state relation, and markers for each must be provided to distinguish between them.", "author" : [ { "dropping-particle" : "", "family" : "Zubin", "given" : "Joseph", "non-dropping-particle" : "", "parse-names" : false, "suffix" : "" }, { "dropping-particle" : "", "family" : "Spring", "given" : "Bonnie", "non-dropping-particle" : "", "parse-names" : false, "suffix" : "" } ], "container-title" : "Journal of Abnormal Psychology", "id" : "ITEM-1", "issue" : "2", "issued" : { "date-parts" : [ [ "1977" ] ] }, "page" : "103-126", "title" : "Vulnerability; a new view of Schizophrenia", "type" : "article-journal", "volume" : "86" }, "uris" : [ "http://www.mendeley.com/documents/?uuid=96b54865-f7b4-4b14-8131-035eb835b4b3" ] } ], "mendeley" : { "formattedCitation" : "&lt;sup&gt;32&lt;/sup&gt;", "plainTextFormattedCitation" : "32", "previouslyFormattedCitation" : "&lt;sup&gt;32&lt;/sup&gt;" }, "properties" : { "noteIndex" : 0 }, "schema" : "https://github.com/citation-style-language/schema/raw/master/csl-citation.json" }</w:instrText>
            </w:r>
            <w:r w:rsidRPr="00A011D9">
              <w:fldChar w:fldCharType="separate"/>
            </w:r>
            <w:r w:rsidRPr="00700C25">
              <w:t>32</w:t>
            </w:r>
            <w:r w:rsidRPr="00A011D9">
              <w:fldChar w:fldCharType="end"/>
            </w:r>
            <w:r w:rsidRPr="00700C25">
              <w:t>]</w:t>
            </w:r>
            <w:r w:rsidRPr="00A011D9">
              <w:t xml:space="preserve">. </w:t>
            </w:r>
          </w:p>
          <w:p w:rsidR="00D46D59" w:rsidRPr="00A011D9" w:rsidRDefault="00D46D59" w:rsidP="00D46D59">
            <w:pPr>
              <w:pStyle w:val="Lijstalinea"/>
              <w:numPr>
                <w:ilvl w:val="0"/>
                <w:numId w:val="1"/>
              </w:numPr>
            </w:pPr>
            <w:r w:rsidRPr="00A011D9">
              <w:t xml:space="preserve">A ‘Sleep wake diary’ is an assessment tool to explore patients’ sleep/wake patterns. This registration allows GP and patient to tailor interventions such as ‘sleep hygiene education’ or ‘stimulus control therapy’. </w:t>
            </w:r>
          </w:p>
          <w:p w:rsidR="00D46D59" w:rsidRPr="00A011D9" w:rsidRDefault="00D46D59" w:rsidP="00D46D59">
            <w:pPr>
              <w:pStyle w:val="Lijstalinea"/>
              <w:numPr>
                <w:ilvl w:val="0"/>
                <w:numId w:val="1"/>
              </w:numPr>
            </w:pPr>
            <w:r w:rsidRPr="00A011D9">
              <w:t xml:space="preserve">‘Stimulus control therapy’ is a classical conditioning approach to re-associating the bed and bedroom with successful sleep </w:t>
            </w:r>
            <w:r w:rsidRPr="00700C25">
              <w:t>attempts [</w:t>
            </w:r>
            <w:r w:rsidRPr="00700C25">
              <w:fldChar w:fldCharType="begin" w:fldLock="1"/>
            </w:r>
            <w:r w:rsidRPr="00700C25">
              <w:instrText>ADDIN CSL_CITATION { "citationItems" : [ { "id" : "ITEM-1", "itemData" : { "DOI" : "10.1016/j.cpr.2005.04.003", "ISBN" : "0272-7358 (Print)\\n0272-7358 (Linking)", "ISSN" : "02727358", "PMID" : "15951083", "abstract" : "Primary insomnia (PI) is a prevalent form of sleep difficulty that impairs diurnal functioning, reduces quality of life and enhances health care utilization/costs for millions worldwide. Whereas the underlying pathophysiology of PI remains poorly understood, it is widely accepted that a host of cognitive and behavioral factors play important roles in perpetuating this condition. As such, a multi-factorial, cognitive-behavioral therapy (CBT) has emerged as a \"treatment of choice\" for managing the sleep/wake complaints of PI sufferers. This article considers the nature and relative merits of CBT for treating PI patients. In addition, this article reviews studies supporting the general efficacy and clinical effectiveness of CBT for treating PI complaints. Issues related to treatment implementation as well as factors that mediate patients' responses to CBT and predict treatment acceptance/outcome are also considered. Finally, remaining questions regarding CBT's application to PI are considered, and suggestions for future research are provided.", "author" : [ { "dropping-particle" : "", "family" : "Edinger", "given" : "Jack D.", "non-dropping-particle" : "", "parse-names" : false, "suffix" : "" }, { "dropping-particle" : "", "family" : "Means", "given" : "Melanie K.", "non-dropping-particle" : "", "parse-names" : false, "suffix" : "" } ], "container-title" : "Clinical Psychology Review", "id" : "ITEM-1", "issue" : "5", "issued" : { "date-parts" : [ [ "2005" ] ] }, "page" : "539-558", "title" : "Cognitive-behavioral therapy for primary insomnia", "type" : "article-journal", "volume" : "25" }, "uris" : [ "http://www.mendeley.com/documents/?uuid=ccadd83a-357c-40ac-9d47-79a76925054a" ] } ], "mendeley" : { "formattedCitation" : "&lt;sup&gt;31&lt;/sup&gt;", "plainTextFormattedCitation" : "31", "previouslyFormattedCitation" : "&lt;sup&gt;31&lt;/sup&gt;" }, "properties" : { "noteIndex" : 0 }, "schema" : "https://github.com/citation-style-language/schema/raw/master/csl-citation.json" }</w:instrText>
            </w:r>
            <w:r w:rsidRPr="00700C25">
              <w:fldChar w:fldCharType="separate"/>
            </w:r>
            <w:r w:rsidRPr="00700C25">
              <w:t>31</w:t>
            </w:r>
            <w:r w:rsidRPr="00700C25">
              <w:fldChar w:fldCharType="end"/>
            </w:r>
            <w:r w:rsidRPr="00700C25">
              <w:t>].</w:t>
            </w:r>
            <w:r w:rsidRPr="00700C25">
              <w:br/>
              <w:t>The ‘ABC Model’ can be used to educate patients about the</w:t>
            </w:r>
            <w:r w:rsidRPr="00A011D9">
              <w:t xml:space="preserve"> relationship between thoughts, emotions and behavior, which is an important part of therapeutic change. The model can be used as a registration tool, inviting patients to record sequences of events in terms of ‘Activating events’, ‘Beliefs’ and’ Consequences’</w:t>
            </w:r>
            <w:r>
              <w:t xml:space="preserve"> </w:t>
            </w:r>
            <w:r w:rsidRPr="00700C25">
              <w:t>[</w:t>
            </w:r>
            <w:r w:rsidRPr="00A011D9">
              <w:fldChar w:fldCharType="begin" w:fldLock="1"/>
            </w:r>
            <w:r>
              <w:instrText>ADDIN CSL_CITATION { "citationItems" : [ { "id" : "ITEM-1", "itemData" : { "ISSN" : "0309-2402", "PMID" : "10672104", "abstract" : "Research suggests that clients need to be made aware of the relationship between thinking and emotional and behavioural reactions at the start of the therapeutic work. This paper looks at the clinical processes of educating the client about this relationship in a seven-step ABC model. Rationales for each of the seven steps are given. The model illustrates the process of generating alternative beliefs in relation to a negative event and shows consequences of holding helpful and unhelpful beliefs.", "author" : [ { "dropping-particle" : "", "family" : "Lam", "given" : "D", "non-dropping-particle" : "", "parse-names" : false, "suffix" : "" }, { "dropping-particle" : "", "family" : "Gale", "given" : "J", "non-dropping-particle" : "", "parse-names" : false, "suffix" : "" } ], "container-title" : "Journal of advanced nursing", "id" : "ITEM-1", "issue" : "2", "issued" : { "date-parts" : [ [ "2000" ] ] }, "page" : "444-451", "title" : "Cognitive behaviour therapy: teaching a client the ABC model--the first step towards the process of change.", "type" : "article-journal", "volume" : "31" }, "uris" : [ "http://www.mendeley.com/documents/?uuid=b89264ee-15be-4504-9c61-471c9cb2b587" ] } ], "mendeley" : { "formattedCitation" : "&lt;sup&gt;33&lt;/sup&gt;", "plainTextFormattedCitation" : "33", "previouslyFormattedCitation" : "&lt;sup&gt;33&lt;/sup&gt;" }, "properties" : { "noteIndex" : 0 }, "schema" : "https://github.com/citation-style-language/schema/raw/master/csl-citation.json" }</w:instrText>
            </w:r>
            <w:r w:rsidRPr="00A011D9">
              <w:fldChar w:fldCharType="separate"/>
            </w:r>
            <w:r w:rsidRPr="00700C25">
              <w:t>33</w:t>
            </w:r>
            <w:r w:rsidRPr="00A011D9">
              <w:fldChar w:fldCharType="end"/>
            </w:r>
            <w:r w:rsidRPr="00700C25">
              <w:t>]</w:t>
            </w:r>
            <w:r w:rsidRPr="00A011D9">
              <w:t>.</w:t>
            </w:r>
          </w:p>
          <w:p w:rsidR="00D46D59" w:rsidRPr="00557A57" w:rsidRDefault="00D46D59" w:rsidP="00D46D59">
            <w:r w:rsidRPr="00557A57">
              <w:t xml:space="preserve">To encourage reflection, video-consultations were shown in several stages and participants were frequently asked how and why they would act themselves in those particular situations. Rather than telling participants what to do, the module gave participants a chance to experience the consequences of their choices as this enhances a feeling of control, competence and autonomy. </w:t>
            </w:r>
          </w:p>
          <w:p w:rsidR="00E310BB" w:rsidRPr="00D46D59" w:rsidRDefault="00D46D59" w:rsidP="00D46D59">
            <w:r w:rsidRPr="00557A57">
              <w:t>Scientific knowledge and guidelines concerning BZD prescribing was integrated and referred to within the module. However this was not the core material of the E-module, but was stored within a virtual ‘library’, available for participants whenever they wanted to consult some literature.</w:t>
            </w:r>
          </w:p>
        </w:tc>
      </w:tr>
    </w:tbl>
    <w:p w:rsidR="006A1820" w:rsidRDefault="006A1820"/>
    <w:sectPr w:rsidR="006A18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F16AF"/>
    <w:multiLevelType w:val="hybridMultilevel"/>
    <w:tmpl w:val="BDAAA97C"/>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0BB"/>
    <w:rsid w:val="003D439D"/>
    <w:rsid w:val="005F2B12"/>
    <w:rsid w:val="006A1820"/>
    <w:rsid w:val="00D46D59"/>
    <w:rsid w:val="00E310B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10BB"/>
    <w:pPr>
      <w:spacing w:after="200" w:line="480" w:lineRule="auto"/>
    </w:pPr>
    <w:rPr>
      <w:rFonts w:ascii="Calibri" w:eastAsia="Calibri" w:hAnsi="Calibri" w:cs="Calibri"/>
      <w:sz w:val="24"/>
      <w:szCs w:val="24"/>
      <w:lang w:val="en-US" w:eastAsia="nl-BE"/>
    </w:rPr>
  </w:style>
  <w:style w:type="paragraph" w:styleId="Kop1">
    <w:name w:val="heading 1"/>
    <w:basedOn w:val="Standaard"/>
    <w:next w:val="Standaard"/>
    <w:link w:val="Kop1Char"/>
    <w:uiPriority w:val="9"/>
    <w:qFormat/>
    <w:rsid w:val="00E310BB"/>
    <w:pPr>
      <w:keepNext/>
      <w:spacing w:before="240" w:after="60"/>
      <w:outlineLvl w:val="0"/>
    </w:pPr>
    <w:rPr>
      <w:rFonts w:ascii="Cambria" w:eastAsia="Times New Roman" w:hAnsi="Cambria"/>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10BB"/>
    <w:rPr>
      <w:rFonts w:ascii="Cambria" w:eastAsia="Times New Roman" w:hAnsi="Cambria" w:cs="Calibri"/>
      <w:bCs/>
      <w:kern w:val="32"/>
      <w:sz w:val="32"/>
      <w:szCs w:val="32"/>
      <w:lang w:val="en-US" w:eastAsia="nl-BE"/>
    </w:rPr>
  </w:style>
  <w:style w:type="paragraph" w:styleId="Lijstalinea">
    <w:name w:val="List Paragraph"/>
    <w:basedOn w:val="Standaard"/>
    <w:uiPriority w:val="34"/>
    <w:qFormat/>
    <w:rsid w:val="00E310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10BB"/>
    <w:pPr>
      <w:spacing w:after="200" w:line="480" w:lineRule="auto"/>
    </w:pPr>
    <w:rPr>
      <w:rFonts w:ascii="Calibri" w:eastAsia="Calibri" w:hAnsi="Calibri" w:cs="Calibri"/>
      <w:sz w:val="24"/>
      <w:szCs w:val="24"/>
      <w:lang w:val="en-US" w:eastAsia="nl-BE"/>
    </w:rPr>
  </w:style>
  <w:style w:type="paragraph" w:styleId="Kop1">
    <w:name w:val="heading 1"/>
    <w:basedOn w:val="Standaard"/>
    <w:next w:val="Standaard"/>
    <w:link w:val="Kop1Char"/>
    <w:uiPriority w:val="9"/>
    <w:qFormat/>
    <w:rsid w:val="00E310BB"/>
    <w:pPr>
      <w:keepNext/>
      <w:spacing w:before="240" w:after="60"/>
      <w:outlineLvl w:val="0"/>
    </w:pPr>
    <w:rPr>
      <w:rFonts w:ascii="Cambria" w:eastAsia="Times New Roman" w:hAnsi="Cambria"/>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10BB"/>
    <w:rPr>
      <w:rFonts w:ascii="Cambria" w:eastAsia="Times New Roman" w:hAnsi="Cambria" w:cs="Calibri"/>
      <w:bCs/>
      <w:kern w:val="32"/>
      <w:sz w:val="32"/>
      <w:szCs w:val="32"/>
      <w:lang w:val="en-US" w:eastAsia="nl-BE"/>
    </w:rPr>
  </w:style>
  <w:style w:type="paragraph" w:styleId="Lijstalinea">
    <w:name w:val="List Paragraph"/>
    <w:basedOn w:val="Standaard"/>
    <w:uiPriority w:val="34"/>
    <w:qFormat/>
    <w:rsid w:val="00E31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3186</Words>
  <Characters>17523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UGent</Company>
  <LinksUpToDate>false</LinksUpToDate>
  <CharactersWithSpaces>20668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Creupelandt</dc:creator>
  <cp:keywords/>
  <dc:description/>
  <cp:lastModifiedBy>Hanne Creupelandt</cp:lastModifiedBy>
  <cp:revision>6</cp:revision>
  <dcterms:created xsi:type="dcterms:W3CDTF">2017-11-23T12:38:00Z</dcterms:created>
  <dcterms:modified xsi:type="dcterms:W3CDTF">2017-11-24T10:32:00Z</dcterms:modified>
</cp:coreProperties>
</file>