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0B2" w:rsidRPr="006400B2" w:rsidRDefault="006400B2" w:rsidP="006400B2">
      <w:pPr>
        <w:spacing w:after="200" w:line="360" w:lineRule="auto"/>
        <w:jc w:val="both"/>
        <w:rPr>
          <w:rFonts w:ascii="Times New Roman" w:eastAsia="MS Mincho" w:hAnsi="Times New Roman" w:cs="Times New Roman"/>
          <w:b/>
          <w:sz w:val="28"/>
          <w:szCs w:val="24"/>
          <w:lang w:val="en-GB" w:eastAsia="ja-JP"/>
        </w:rPr>
      </w:pPr>
      <w:r w:rsidRPr="006400B2">
        <w:rPr>
          <w:rFonts w:ascii="Times New Roman" w:eastAsia="MS Mincho" w:hAnsi="Times New Roman" w:cs="Times New Roman"/>
          <w:b/>
          <w:sz w:val="28"/>
          <w:szCs w:val="24"/>
          <w:lang w:val="en-GB" w:eastAsia="ja-JP"/>
        </w:rPr>
        <w:t>Additional files.</w:t>
      </w:r>
    </w:p>
    <w:p w:rsidR="006400B2" w:rsidRPr="006400B2" w:rsidRDefault="006400B2" w:rsidP="006400B2">
      <w:pPr>
        <w:spacing w:after="200" w:line="360" w:lineRule="auto"/>
        <w:jc w:val="both"/>
        <w:rPr>
          <w:rFonts w:ascii="Times New Roman" w:eastAsia="MS Mincho" w:hAnsi="Times New Roman" w:cs="Times New Roman"/>
          <w:sz w:val="24"/>
          <w:szCs w:val="24"/>
          <w:lang w:val="en-GB" w:eastAsia="ja-JP"/>
        </w:rPr>
      </w:pPr>
      <w:r w:rsidRPr="006400B2">
        <w:rPr>
          <w:rFonts w:ascii="Times New Roman" w:eastAsia="MS Mincho" w:hAnsi="Times New Roman" w:cs="Times New Roman"/>
          <w:sz w:val="24"/>
          <w:szCs w:val="24"/>
          <w:lang w:val="en-GB" w:eastAsia="ja-JP"/>
        </w:rPr>
        <w:t>Additional file 1</w:t>
      </w:r>
      <w:r w:rsidR="000538A1">
        <w:rPr>
          <w:rFonts w:ascii="Times New Roman" w:eastAsia="MS Mincho" w:hAnsi="Times New Roman" w:cs="Times New Roman"/>
          <w:sz w:val="24"/>
          <w:szCs w:val="24"/>
          <w:lang w:val="en-GB" w:eastAsia="ja-JP"/>
        </w:rPr>
        <w:t>:</w:t>
      </w:r>
      <w:bookmarkStart w:id="0" w:name="_GoBack"/>
      <w:bookmarkEnd w:id="0"/>
      <w:r w:rsidRPr="006400B2">
        <w:rPr>
          <w:rFonts w:ascii="Times New Roman" w:eastAsia="MS Mincho" w:hAnsi="Times New Roman" w:cs="Times New Roman"/>
          <w:sz w:val="24"/>
          <w:szCs w:val="24"/>
          <w:lang w:val="en-GB" w:eastAsia="ja-JP"/>
        </w:rPr>
        <w:t xml:space="preserve"> </w:t>
      </w:r>
      <w:r w:rsidRPr="000538A1">
        <w:rPr>
          <w:rFonts w:ascii="Times New Roman" w:eastAsia="MS Mincho" w:hAnsi="Times New Roman" w:cs="Times New Roman"/>
          <w:b/>
          <w:sz w:val="24"/>
          <w:szCs w:val="24"/>
          <w:lang w:val="en-GB" w:eastAsia="ja-JP"/>
        </w:rPr>
        <w:t>Table</w:t>
      </w:r>
      <w:r w:rsidR="000538A1" w:rsidRPr="000538A1">
        <w:rPr>
          <w:rFonts w:ascii="Times New Roman" w:eastAsia="MS Mincho" w:hAnsi="Times New Roman" w:cs="Times New Roman"/>
          <w:b/>
          <w:sz w:val="24"/>
          <w:szCs w:val="24"/>
          <w:lang w:val="en-GB" w:eastAsia="ja-JP"/>
        </w:rPr>
        <w:t xml:space="preserve"> S1</w:t>
      </w:r>
      <w:r w:rsidRPr="006400B2">
        <w:rPr>
          <w:rFonts w:ascii="Times New Roman" w:eastAsia="MS Mincho" w:hAnsi="Times New Roman" w:cs="Times New Roman"/>
          <w:sz w:val="24"/>
          <w:szCs w:val="24"/>
          <w:lang w:val="en-GB" w:eastAsia="ja-JP"/>
        </w:rPr>
        <w:t xml:space="preserve"> Differences between empathy scales by gender and specialty preference.</w:t>
      </w:r>
    </w:p>
    <w:tbl>
      <w:tblPr>
        <w:tblStyle w:val="TableGrid"/>
        <w:tblW w:w="130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2376"/>
        <w:gridCol w:w="2381"/>
        <w:gridCol w:w="1127"/>
        <w:gridCol w:w="2376"/>
        <w:gridCol w:w="2466"/>
        <w:gridCol w:w="1206"/>
      </w:tblGrid>
      <w:tr w:rsidR="006400B2" w:rsidRPr="006400B2" w:rsidTr="00E31056">
        <w:trPr>
          <w:trHeight w:val="60"/>
        </w:trPr>
        <w:tc>
          <w:tcPr>
            <w:tcW w:w="1083" w:type="dxa"/>
            <w:tcBorders>
              <w:top w:val="single" w:sz="4" w:space="0" w:color="auto"/>
            </w:tcBorders>
          </w:tcPr>
          <w:p w:rsidR="006400B2" w:rsidRPr="006400B2" w:rsidRDefault="006400B2" w:rsidP="006400B2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en-GB" w:eastAsia="es-ES"/>
              </w:rPr>
            </w:pPr>
          </w:p>
        </w:tc>
        <w:tc>
          <w:tcPr>
            <w:tcW w:w="47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00B2" w:rsidRPr="006400B2" w:rsidRDefault="006400B2" w:rsidP="006400B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GB" w:eastAsia="ja-JP"/>
              </w:rPr>
              <w:t>Gender</w:t>
            </w:r>
          </w:p>
        </w:tc>
        <w:tc>
          <w:tcPr>
            <w:tcW w:w="1127" w:type="dxa"/>
            <w:tcBorders>
              <w:top w:val="single" w:sz="4" w:space="0" w:color="auto"/>
            </w:tcBorders>
          </w:tcPr>
          <w:p w:rsidR="006400B2" w:rsidRPr="006400B2" w:rsidRDefault="006400B2" w:rsidP="006400B2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en-GB" w:eastAsia="es-ES"/>
              </w:rPr>
            </w:pPr>
          </w:p>
        </w:tc>
        <w:tc>
          <w:tcPr>
            <w:tcW w:w="4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00B2" w:rsidRPr="006400B2" w:rsidRDefault="006400B2" w:rsidP="006400B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GB" w:eastAsia="ja-JP"/>
              </w:rPr>
              <w:t>Specialty preference</w:t>
            </w:r>
          </w:p>
        </w:tc>
        <w:tc>
          <w:tcPr>
            <w:tcW w:w="1206" w:type="dxa"/>
            <w:tcBorders>
              <w:top w:val="single" w:sz="4" w:space="0" w:color="auto"/>
            </w:tcBorders>
          </w:tcPr>
          <w:p w:rsidR="006400B2" w:rsidRPr="006400B2" w:rsidRDefault="006400B2" w:rsidP="006400B2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en-GB" w:eastAsia="es-ES"/>
              </w:rPr>
            </w:pPr>
          </w:p>
        </w:tc>
      </w:tr>
      <w:tr w:rsidR="006400B2" w:rsidRPr="006400B2" w:rsidTr="00E31056">
        <w:trPr>
          <w:trHeight w:val="60"/>
        </w:trPr>
        <w:tc>
          <w:tcPr>
            <w:tcW w:w="1083" w:type="dxa"/>
            <w:tcBorders>
              <w:bottom w:val="single" w:sz="4" w:space="0" w:color="auto"/>
            </w:tcBorders>
          </w:tcPr>
          <w:p w:rsidR="006400B2" w:rsidRPr="006400B2" w:rsidRDefault="006400B2" w:rsidP="006400B2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en-GB" w:eastAsia="es-ES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400B2" w:rsidRPr="006400B2" w:rsidRDefault="006400B2" w:rsidP="006400B2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6400B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Men</w:t>
            </w:r>
          </w:p>
          <w:p w:rsidR="006400B2" w:rsidRPr="006400B2" w:rsidRDefault="006400B2" w:rsidP="006400B2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6400B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n=26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400B2" w:rsidRPr="006400B2" w:rsidRDefault="006400B2" w:rsidP="006400B2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6400B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Women</w:t>
            </w:r>
          </w:p>
          <w:p w:rsidR="006400B2" w:rsidRPr="006400B2" w:rsidRDefault="006400B2" w:rsidP="006400B2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6400B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n=84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vAlign w:val="bottom"/>
          </w:tcPr>
          <w:p w:rsidR="006400B2" w:rsidRPr="006400B2" w:rsidRDefault="006400B2" w:rsidP="006400B2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6400B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p-value</w:t>
            </w:r>
            <w:r w:rsidRPr="006400B2">
              <w:rPr>
                <w:rFonts w:ascii="Times New Roman" w:eastAsia="MS Mincho" w:hAnsi="Times New Roman" w:cs="Times New Roman"/>
                <w:b/>
                <w:sz w:val="24"/>
                <w:szCs w:val="24"/>
                <w:vertAlign w:val="superscript"/>
                <w:lang w:val="en-GB" w:eastAsia="ja-JP"/>
              </w:rPr>
              <w:t>a</w:t>
            </w: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400B2" w:rsidRPr="006400B2" w:rsidRDefault="006400B2" w:rsidP="006400B2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6400B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People-oriented</w:t>
            </w:r>
          </w:p>
          <w:p w:rsidR="006400B2" w:rsidRPr="006400B2" w:rsidRDefault="006400B2" w:rsidP="006400B2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6400B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n=80</w:t>
            </w: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400B2" w:rsidRPr="006400B2" w:rsidRDefault="006400B2" w:rsidP="006400B2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6400B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Technology-oriented</w:t>
            </w:r>
          </w:p>
          <w:p w:rsidR="006400B2" w:rsidRPr="006400B2" w:rsidRDefault="006400B2" w:rsidP="006400B2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6400B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n=30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vAlign w:val="bottom"/>
          </w:tcPr>
          <w:p w:rsidR="006400B2" w:rsidRPr="006400B2" w:rsidRDefault="006400B2" w:rsidP="006400B2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6400B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p-value</w:t>
            </w:r>
            <w:r w:rsidRPr="006400B2">
              <w:rPr>
                <w:rFonts w:ascii="Times New Roman" w:eastAsia="MS Mincho" w:hAnsi="Times New Roman" w:cs="Times New Roman"/>
                <w:b/>
                <w:sz w:val="24"/>
                <w:szCs w:val="24"/>
                <w:vertAlign w:val="superscript"/>
                <w:lang w:val="en-GB" w:eastAsia="ja-JP"/>
              </w:rPr>
              <w:t>a</w:t>
            </w:r>
          </w:p>
        </w:tc>
      </w:tr>
      <w:tr w:rsidR="006400B2" w:rsidRPr="006400B2" w:rsidTr="00E31056">
        <w:tc>
          <w:tcPr>
            <w:tcW w:w="1083" w:type="dxa"/>
            <w:tcBorders>
              <w:top w:val="single" w:sz="4" w:space="0" w:color="auto"/>
            </w:tcBorders>
          </w:tcPr>
          <w:p w:rsidR="006400B2" w:rsidRPr="006400B2" w:rsidRDefault="006400B2" w:rsidP="006400B2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GB" w:eastAsia="ja-JP"/>
              </w:rPr>
              <w:t>JSPE</w:t>
            </w:r>
          </w:p>
        </w:tc>
        <w:tc>
          <w:tcPr>
            <w:tcW w:w="2376" w:type="dxa"/>
            <w:tcBorders>
              <w:top w:val="single" w:sz="4" w:space="0" w:color="auto"/>
            </w:tcBorders>
            <w:vAlign w:val="center"/>
          </w:tcPr>
          <w:p w:rsidR="006400B2" w:rsidRPr="006400B2" w:rsidRDefault="006400B2" w:rsidP="006400B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</w:pPr>
            <w:r w:rsidRPr="006400B2"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  <w:t>120.5 (112.0 - 127.5)</w:t>
            </w:r>
          </w:p>
        </w:tc>
        <w:tc>
          <w:tcPr>
            <w:tcW w:w="2381" w:type="dxa"/>
            <w:tcBorders>
              <w:top w:val="single" w:sz="4" w:space="0" w:color="auto"/>
            </w:tcBorders>
            <w:vAlign w:val="center"/>
          </w:tcPr>
          <w:p w:rsidR="006400B2" w:rsidRPr="006400B2" w:rsidRDefault="006400B2" w:rsidP="006400B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</w:pPr>
            <w:r w:rsidRPr="006400B2"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  <w:t>120.5 (110.8 – 130.0)</w:t>
            </w:r>
          </w:p>
        </w:tc>
        <w:tc>
          <w:tcPr>
            <w:tcW w:w="1127" w:type="dxa"/>
            <w:tcBorders>
              <w:top w:val="single" w:sz="4" w:space="0" w:color="auto"/>
            </w:tcBorders>
            <w:vAlign w:val="center"/>
          </w:tcPr>
          <w:p w:rsidR="006400B2" w:rsidRPr="006400B2" w:rsidRDefault="006400B2" w:rsidP="006400B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</w:pPr>
            <w:r w:rsidRPr="006400B2"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  <w:t>0.657</w:t>
            </w:r>
          </w:p>
        </w:tc>
        <w:tc>
          <w:tcPr>
            <w:tcW w:w="2376" w:type="dxa"/>
            <w:tcBorders>
              <w:top w:val="single" w:sz="4" w:space="0" w:color="auto"/>
            </w:tcBorders>
          </w:tcPr>
          <w:p w:rsidR="006400B2" w:rsidRPr="006400B2" w:rsidRDefault="006400B2" w:rsidP="006400B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</w:pPr>
            <w:r w:rsidRPr="006400B2"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  <w:t>122.5 (113.8 - 130.0)</w:t>
            </w:r>
          </w:p>
        </w:tc>
        <w:tc>
          <w:tcPr>
            <w:tcW w:w="2466" w:type="dxa"/>
            <w:tcBorders>
              <w:top w:val="single" w:sz="4" w:space="0" w:color="auto"/>
            </w:tcBorders>
          </w:tcPr>
          <w:p w:rsidR="006400B2" w:rsidRPr="006400B2" w:rsidRDefault="006400B2" w:rsidP="006400B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</w:pPr>
            <w:r w:rsidRPr="006400B2"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  <w:t>113.0 (101.5 - 127.5)</w:t>
            </w:r>
          </w:p>
        </w:tc>
        <w:tc>
          <w:tcPr>
            <w:tcW w:w="1206" w:type="dxa"/>
            <w:tcBorders>
              <w:top w:val="single" w:sz="4" w:space="0" w:color="auto"/>
            </w:tcBorders>
          </w:tcPr>
          <w:p w:rsidR="006400B2" w:rsidRPr="006400B2" w:rsidRDefault="006400B2" w:rsidP="006400B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</w:pPr>
            <w:r w:rsidRPr="006400B2"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  <w:t>0.009</w:t>
            </w:r>
          </w:p>
        </w:tc>
      </w:tr>
      <w:tr w:rsidR="006400B2" w:rsidRPr="006400B2" w:rsidTr="00E31056">
        <w:tc>
          <w:tcPr>
            <w:tcW w:w="1083" w:type="dxa"/>
          </w:tcPr>
          <w:p w:rsidR="006400B2" w:rsidRPr="006400B2" w:rsidRDefault="006400B2" w:rsidP="006400B2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val="en-GB" w:eastAsia="ja-JP"/>
              </w:rPr>
              <w:t>IRI-PT</w:t>
            </w:r>
          </w:p>
        </w:tc>
        <w:tc>
          <w:tcPr>
            <w:tcW w:w="2376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</w:pPr>
            <w:r w:rsidRPr="006400B2"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  <w:t>17.9 (4.0)</w:t>
            </w:r>
          </w:p>
        </w:tc>
        <w:tc>
          <w:tcPr>
            <w:tcW w:w="2381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</w:pPr>
            <w:r w:rsidRPr="006400B2"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  <w:t>18.4 (3.9)</w:t>
            </w:r>
          </w:p>
        </w:tc>
        <w:tc>
          <w:tcPr>
            <w:tcW w:w="1127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</w:pPr>
            <w:r w:rsidRPr="006400B2"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  <w:t>0.573</w:t>
            </w:r>
          </w:p>
        </w:tc>
        <w:tc>
          <w:tcPr>
            <w:tcW w:w="2376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</w:pPr>
            <w:r w:rsidRPr="006400B2"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  <w:t>18.4 (3.5)</w:t>
            </w:r>
          </w:p>
        </w:tc>
        <w:tc>
          <w:tcPr>
            <w:tcW w:w="2466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</w:pPr>
            <w:r w:rsidRPr="006400B2"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  <w:t>17.9 (5.0)</w:t>
            </w:r>
          </w:p>
        </w:tc>
        <w:tc>
          <w:tcPr>
            <w:tcW w:w="1206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</w:pPr>
            <w:r w:rsidRPr="006400B2"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  <w:t>0.606</w:t>
            </w:r>
          </w:p>
        </w:tc>
      </w:tr>
      <w:tr w:rsidR="006400B2" w:rsidRPr="006400B2" w:rsidTr="00E31056">
        <w:tc>
          <w:tcPr>
            <w:tcW w:w="1083" w:type="dxa"/>
          </w:tcPr>
          <w:p w:rsidR="006400B2" w:rsidRPr="006400B2" w:rsidRDefault="006400B2" w:rsidP="006400B2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val="en-GB" w:eastAsia="ja-JP"/>
              </w:rPr>
              <w:t>IRI-FS</w:t>
            </w:r>
          </w:p>
        </w:tc>
        <w:tc>
          <w:tcPr>
            <w:tcW w:w="2376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</w:pPr>
            <w:r w:rsidRPr="006400B2"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  <w:t>17.0 (11.2 - 22.0)</w:t>
            </w:r>
          </w:p>
        </w:tc>
        <w:tc>
          <w:tcPr>
            <w:tcW w:w="2381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</w:pPr>
            <w:r w:rsidRPr="006400B2"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  <w:t>18.0 (15.0 - 24.0)</w:t>
            </w:r>
          </w:p>
        </w:tc>
        <w:tc>
          <w:tcPr>
            <w:tcW w:w="1127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</w:pPr>
            <w:r w:rsidRPr="006400B2"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  <w:t>0.203</w:t>
            </w:r>
          </w:p>
        </w:tc>
        <w:tc>
          <w:tcPr>
            <w:tcW w:w="2376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</w:pPr>
            <w:r w:rsidRPr="006400B2"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  <w:t>18.0 (15.0 - 24.0)</w:t>
            </w:r>
          </w:p>
        </w:tc>
        <w:tc>
          <w:tcPr>
            <w:tcW w:w="2466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</w:pPr>
            <w:r w:rsidRPr="006400B2"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  <w:t>16.0 (12.2 - 20.0)</w:t>
            </w:r>
          </w:p>
        </w:tc>
        <w:tc>
          <w:tcPr>
            <w:tcW w:w="1206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</w:pPr>
            <w:r w:rsidRPr="006400B2"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  <w:t>0.054</w:t>
            </w:r>
          </w:p>
        </w:tc>
      </w:tr>
      <w:tr w:rsidR="006400B2" w:rsidRPr="006400B2" w:rsidTr="00E31056">
        <w:tc>
          <w:tcPr>
            <w:tcW w:w="1083" w:type="dxa"/>
          </w:tcPr>
          <w:p w:rsidR="006400B2" w:rsidRPr="006400B2" w:rsidRDefault="006400B2" w:rsidP="006400B2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val="en-GB" w:eastAsia="ja-JP"/>
              </w:rPr>
              <w:t>IRI-EC</w:t>
            </w:r>
          </w:p>
        </w:tc>
        <w:tc>
          <w:tcPr>
            <w:tcW w:w="2376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</w:pPr>
            <w:r w:rsidRPr="006400B2"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  <w:t>20.0 (18.2 - 23.8)</w:t>
            </w:r>
          </w:p>
        </w:tc>
        <w:tc>
          <w:tcPr>
            <w:tcW w:w="2381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</w:pPr>
            <w:r w:rsidRPr="006400B2"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  <w:t>23.0 (21.0 - 24.2)</w:t>
            </w:r>
          </w:p>
        </w:tc>
        <w:tc>
          <w:tcPr>
            <w:tcW w:w="1127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</w:pPr>
            <w:r w:rsidRPr="006400B2"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  <w:t>0.026</w:t>
            </w:r>
          </w:p>
        </w:tc>
        <w:tc>
          <w:tcPr>
            <w:tcW w:w="2376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</w:pPr>
            <w:r w:rsidRPr="006400B2"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  <w:t>22.5 (20.0 - 24.0)</w:t>
            </w:r>
          </w:p>
        </w:tc>
        <w:tc>
          <w:tcPr>
            <w:tcW w:w="2466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</w:pPr>
            <w:r w:rsidRPr="006400B2"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  <w:t>23.0 (20.0 - 24.8)</w:t>
            </w:r>
          </w:p>
        </w:tc>
        <w:tc>
          <w:tcPr>
            <w:tcW w:w="1206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</w:pPr>
            <w:r w:rsidRPr="006400B2"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  <w:t>0.589</w:t>
            </w:r>
          </w:p>
        </w:tc>
      </w:tr>
      <w:tr w:rsidR="006400B2" w:rsidRPr="006400B2" w:rsidTr="00E31056">
        <w:tc>
          <w:tcPr>
            <w:tcW w:w="1083" w:type="dxa"/>
          </w:tcPr>
          <w:p w:rsidR="006400B2" w:rsidRPr="006400B2" w:rsidRDefault="006400B2" w:rsidP="006400B2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val="en-GB" w:eastAsia="ja-JP"/>
              </w:rPr>
              <w:t>IRI-PD</w:t>
            </w:r>
          </w:p>
        </w:tc>
        <w:tc>
          <w:tcPr>
            <w:tcW w:w="2376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</w:pPr>
            <w:r w:rsidRPr="006400B2"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  <w:t>6.5 (4.2 - 9.8)</w:t>
            </w:r>
          </w:p>
        </w:tc>
        <w:tc>
          <w:tcPr>
            <w:tcW w:w="2381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</w:pPr>
            <w:r w:rsidRPr="006400B2"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  <w:t>8.0 (5.0 - 11.2)</w:t>
            </w:r>
          </w:p>
        </w:tc>
        <w:tc>
          <w:tcPr>
            <w:tcW w:w="1127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</w:pPr>
            <w:r w:rsidRPr="006400B2"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  <w:t>0.387</w:t>
            </w:r>
          </w:p>
        </w:tc>
        <w:tc>
          <w:tcPr>
            <w:tcW w:w="2376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</w:pPr>
            <w:r w:rsidRPr="006400B2"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  <w:t>9.0 (5.0 - 12.0)</w:t>
            </w:r>
          </w:p>
        </w:tc>
        <w:tc>
          <w:tcPr>
            <w:tcW w:w="2466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</w:pPr>
            <w:r w:rsidRPr="006400B2"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  <w:t>6.0 (3.0 - 7.8)</w:t>
            </w:r>
          </w:p>
        </w:tc>
        <w:tc>
          <w:tcPr>
            <w:tcW w:w="1206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</w:pPr>
            <w:r w:rsidRPr="006400B2"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  <w:t>0.006</w:t>
            </w:r>
          </w:p>
        </w:tc>
      </w:tr>
      <w:tr w:rsidR="006400B2" w:rsidRPr="006400B2" w:rsidTr="00E31056">
        <w:tc>
          <w:tcPr>
            <w:tcW w:w="1083" w:type="dxa"/>
            <w:tcBorders>
              <w:bottom w:val="single" w:sz="4" w:space="0" w:color="auto"/>
            </w:tcBorders>
          </w:tcPr>
          <w:p w:rsidR="006400B2" w:rsidRPr="006400B2" w:rsidRDefault="006400B2" w:rsidP="006400B2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GB" w:eastAsia="ja-JP"/>
              </w:rPr>
              <w:t>EQ</w:t>
            </w:r>
          </w:p>
        </w:tc>
        <w:tc>
          <w:tcPr>
            <w:tcW w:w="2376" w:type="dxa"/>
            <w:tcBorders>
              <w:bottom w:val="single" w:sz="4" w:space="0" w:color="auto"/>
            </w:tcBorders>
          </w:tcPr>
          <w:p w:rsidR="006400B2" w:rsidRPr="006400B2" w:rsidRDefault="006400B2" w:rsidP="006400B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</w:pPr>
            <w:r w:rsidRPr="006400B2"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  <w:t>46.5 (41.0 - 55.5)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6400B2" w:rsidRPr="006400B2" w:rsidRDefault="006400B2" w:rsidP="006400B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</w:pPr>
            <w:r w:rsidRPr="006400B2"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  <w:t>50.0 (43.0 - 57.2)</w:t>
            </w:r>
          </w:p>
        </w:tc>
        <w:tc>
          <w:tcPr>
            <w:tcW w:w="1127" w:type="dxa"/>
            <w:tcBorders>
              <w:bottom w:val="single" w:sz="4" w:space="0" w:color="auto"/>
            </w:tcBorders>
          </w:tcPr>
          <w:p w:rsidR="006400B2" w:rsidRPr="006400B2" w:rsidRDefault="006400B2" w:rsidP="006400B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</w:pPr>
            <w:r w:rsidRPr="006400B2"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  <w:t>0.402</w:t>
            </w:r>
          </w:p>
        </w:tc>
        <w:tc>
          <w:tcPr>
            <w:tcW w:w="2376" w:type="dxa"/>
            <w:tcBorders>
              <w:bottom w:val="single" w:sz="4" w:space="0" w:color="auto"/>
            </w:tcBorders>
          </w:tcPr>
          <w:p w:rsidR="006400B2" w:rsidRPr="006400B2" w:rsidRDefault="006400B2" w:rsidP="006400B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</w:pPr>
            <w:r w:rsidRPr="006400B2"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  <w:t>50.0 (43.8 - 56.2)</w:t>
            </w:r>
          </w:p>
        </w:tc>
        <w:tc>
          <w:tcPr>
            <w:tcW w:w="2466" w:type="dxa"/>
            <w:tcBorders>
              <w:bottom w:val="single" w:sz="4" w:space="0" w:color="auto"/>
            </w:tcBorders>
          </w:tcPr>
          <w:p w:rsidR="006400B2" w:rsidRPr="006400B2" w:rsidRDefault="006400B2" w:rsidP="006400B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</w:pPr>
            <w:r w:rsidRPr="006400B2"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  <w:t>45.0 (37.0 - 58.5)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6400B2" w:rsidRPr="006400B2" w:rsidRDefault="006400B2" w:rsidP="006400B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</w:pPr>
            <w:r w:rsidRPr="006400B2"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  <w:t>0.278</w:t>
            </w:r>
          </w:p>
        </w:tc>
      </w:tr>
      <w:tr w:rsidR="006400B2" w:rsidRPr="006400B2" w:rsidTr="00E31056">
        <w:tc>
          <w:tcPr>
            <w:tcW w:w="13015" w:type="dxa"/>
            <w:gridSpan w:val="7"/>
            <w:tcBorders>
              <w:top w:val="single" w:sz="4" w:space="0" w:color="auto"/>
            </w:tcBorders>
          </w:tcPr>
          <w:p w:rsidR="006400B2" w:rsidRPr="006400B2" w:rsidRDefault="006400B2" w:rsidP="006400B2">
            <w:pPr>
              <w:spacing w:before="120"/>
              <w:jc w:val="both"/>
              <w:rPr>
                <w:rFonts w:ascii="Times New Roman" w:eastAsia="Arial Unicode MS" w:hAnsi="Times New Roman" w:cs="Times New Roman"/>
                <w:sz w:val="18"/>
                <w:szCs w:val="24"/>
                <w:lang w:val="en-GB" w:eastAsia="ja-JP"/>
              </w:rPr>
            </w:pPr>
            <w:r w:rsidRPr="006400B2">
              <w:rPr>
                <w:rFonts w:ascii="Times New Roman" w:eastAsia="Arial Unicode MS" w:hAnsi="Times New Roman" w:cs="Times New Roman"/>
                <w:sz w:val="18"/>
                <w:szCs w:val="24"/>
                <w:lang w:val="en-GB" w:eastAsia="ja-JP"/>
              </w:rPr>
              <w:t>Variables are described with medians and interquartile ranges, except for IRI-PT that is described with mean and standard deviation.</w:t>
            </w:r>
          </w:p>
          <w:p w:rsidR="006400B2" w:rsidRPr="006400B2" w:rsidRDefault="006400B2" w:rsidP="006400B2">
            <w:pPr>
              <w:jc w:val="both"/>
              <w:rPr>
                <w:rFonts w:ascii="Times New Roman" w:eastAsia="Arial Unicode MS" w:hAnsi="Times New Roman" w:cs="Times New Roman"/>
                <w:sz w:val="18"/>
                <w:szCs w:val="24"/>
                <w:lang w:val="en-GB" w:eastAsia="ja-JP"/>
              </w:rPr>
            </w:pPr>
            <w:r w:rsidRPr="006400B2">
              <w:rPr>
                <w:rFonts w:ascii="Times New Roman" w:eastAsia="Arial Unicode MS" w:hAnsi="Times New Roman" w:cs="Times New Roman"/>
                <w:sz w:val="18"/>
                <w:szCs w:val="24"/>
                <w:lang w:val="en-GB" w:eastAsia="ja-JP"/>
              </w:rPr>
              <w:t>JSPE, Jefferson Scale of Physician Empathy; IRI, Interpersonal Reactivity Index; PT, Perspective Taking; FS, Fantasy Scale; EC, Empathic Concern; PD, Personal Distress; EQ, Empathy Quotient.</w:t>
            </w:r>
          </w:p>
          <w:p w:rsidR="006400B2" w:rsidRPr="006400B2" w:rsidRDefault="006400B2" w:rsidP="006400B2">
            <w:pPr>
              <w:spacing w:after="120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Arial Unicode MS" w:hAnsi="Times New Roman" w:cs="Times New Roman"/>
                <w:sz w:val="18"/>
                <w:szCs w:val="24"/>
                <w:lang w:val="en-GB" w:eastAsia="ja-JP"/>
              </w:rPr>
              <w:t>a. Mann-Whitney U test, except for IRI-TP that is analysed with the t test</w:t>
            </w:r>
            <w:r w:rsidRPr="006400B2">
              <w:rPr>
                <w:rFonts w:ascii="Times New Roman" w:eastAsia="MS Mincho" w:hAnsi="Times New Roman" w:cs="Times New Roman"/>
                <w:sz w:val="18"/>
                <w:szCs w:val="24"/>
                <w:lang w:val="en-GB" w:eastAsia="ja-JP"/>
              </w:rPr>
              <w:t>.</w:t>
            </w:r>
          </w:p>
        </w:tc>
      </w:tr>
    </w:tbl>
    <w:p w:rsidR="006400B2" w:rsidRPr="006400B2" w:rsidRDefault="006400B2" w:rsidP="006400B2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  <w:lang w:val="en-GB" w:eastAsia="es-ES"/>
        </w:rPr>
      </w:pPr>
    </w:p>
    <w:p w:rsidR="006400B2" w:rsidRPr="006400B2" w:rsidRDefault="006400B2" w:rsidP="006400B2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  <w:lang w:val="en-GB" w:eastAsia="es-ES"/>
        </w:rPr>
      </w:pPr>
    </w:p>
    <w:p w:rsidR="006400B2" w:rsidRPr="006400B2" w:rsidRDefault="006400B2" w:rsidP="006400B2">
      <w:pPr>
        <w:spacing w:after="200" w:line="276" w:lineRule="auto"/>
        <w:rPr>
          <w:rFonts w:ascii="Times New Roman" w:eastAsia="MS Mincho" w:hAnsi="Times New Roman" w:cs="Times New Roman"/>
          <w:sz w:val="24"/>
          <w:szCs w:val="24"/>
          <w:lang w:val="en-GB" w:eastAsia="es-ES"/>
        </w:rPr>
      </w:pPr>
      <w:r w:rsidRPr="006400B2">
        <w:rPr>
          <w:rFonts w:ascii="Times New Roman" w:eastAsia="MS Mincho" w:hAnsi="Times New Roman" w:cs="Times New Roman"/>
          <w:sz w:val="24"/>
          <w:szCs w:val="24"/>
          <w:lang w:val="en-GB" w:eastAsia="es-ES"/>
        </w:rPr>
        <w:br w:type="page"/>
      </w:r>
    </w:p>
    <w:p w:rsidR="006400B2" w:rsidRPr="006400B2" w:rsidRDefault="006400B2" w:rsidP="006400B2">
      <w:pPr>
        <w:spacing w:after="200" w:line="360" w:lineRule="auto"/>
        <w:jc w:val="both"/>
        <w:rPr>
          <w:rFonts w:ascii="Times New Roman" w:eastAsia="MS Mincho" w:hAnsi="Times New Roman" w:cs="Times New Roman"/>
          <w:sz w:val="24"/>
          <w:szCs w:val="24"/>
          <w:lang w:val="en-GB" w:eastAsia="ja-JP"/>
        </w:rPr>
      </w:pPr>
      <w:r w:rsidRPr="00AA0B0D">
        <w:rPr>
          <w:rFonts w:ascii="Times New Roman" w:eastAsia="MS Mincho" w:hAnsi="Times New Roman" w:cs="Times New Roman"/>
          <w:b/>
          <w:sz w:val="24"/>
          <w:szCs w:val="24"/>
          <w:lang w:val="en-GB" w:eastAsia="ja-JP"/>
        </w:rPr>
        <w:lastRenderedPageBreak/>
        <w:t>Table</w:t>
      </w:r>
      <w:r w:rsidR="00AA0B0D" w:rsidRPr="00AA0B0D">
        <w:rPr>
          <w:rFonts w:ascii="Times New Roman" w:eastAsia="MS Mincho" w:hAnsi="Times New Roman" w:cs="Times New Roman"/>
          <w:b/>
          <w:sz w:val="24"/>
          <w:szCs w:val="24"/>
          <w:lang w:val="en-GB" w:eastAsia="ja-JP"/>
        </w:rPr>
        <w:t xml:space="preserve"> S2</w:t>
      </w:r>
      <w:r w:rsidRPr="006400B2">
        <w:rPr>
          <w:rFonts w:ascii="Times New Roman" w:eastAsia="MS Mincho" w:hAnsi="Times New Roman" w:cs="Times New Roman"/>
          <w:sz w:val="24"/>
          <w:szCs w:val="24"/>
          <w:lang w:val="en-GB" w:eastAsia="ja-JP"/>
        </w:rPr>
        <w:t xml:space="preserve"> Bivariate analysis between Empathy Quotient (qualitative scale) and personality.</w:t>
      </w:r>
    </w:p>
    <w:tbl>
      <w:tblPr>
        <w:tblStyle w:val="TableGrid"/>
        <w:tblW w:w="146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9"/>
        <w:gridCol w:w="2332"/>
        <w:gridCol w:w="2332"/>
        <w:gridCol w:w="2332"/>
        <w:gridCol w:w="2333"/>
        <w:gridCol w:w="2333"/>
      </w:tblGrid>
      <w:tr w:rsidR="006400B2" w:rsidRPr="006400B2" w:rsidTr="00E31056">
        <w:tc>
          <w:tcPr>
            <w:tcW w:w="3009" w:type="dxa"/>
            <w:tcBorders>
              <w:top w:val="single" w:sz="4" w:space="0" w:color="auto"/>
            </w:tcBorders>
          </w:tcPr>
          <w:p w:rsidR="006400B2" w:rsidRPr="006400B2" w:rsidRDefault="006400B2" w:rsidP="006400B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</w:p>
        </w:tc>
        <w:tc>
          <w:tcPr>
            <w:tcW w:w="932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Empathy Quotient (qualitative scale)</w:t>
            </w:r>
          </w:p>
        </w:tc>
        <w:tc>
          <w:tcPr>
            <w:tcW w:w="2333" w:type="dxa"/>
            <w:tcBorders>
              <w:top w:val="single" w:sz="4" w:space="0" w:color="auto"/>
            </w:tcBorders>
            <w:vAlign w:val="bottom"/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GB" w:eastAsia="es-ES"/>
              </w:rPr>
            </w:pPr>
          </w:p>
        </w:tc>
      </w:tr>
      <w:tr w:rsidR="006400B2" w:rsidRPr="006400B2" w:rsidTr="00E31056">
        <w:tc>
          <w:tcPr>
            <w:tcW w:w="3009" w:type="dxa"/>
            <w:tcBorders>
              <w:bottom w:val="single" w:sz="4" w:space="0" w:color="auto"/>
            </w:tcBorders>
          </w:tcPr>
          <w:p w:rsidR="006400B2" w:rsidRPr="006400B2" w:rsidRDefault="006400B2" w:rsidP="006400B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GB" w:eastAsia="es-ES"/>
              </w:rPr>
              <w:t>Low</w:t>
            </w:r>
          </w:p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GB" w:eastAsia="es-ES"/>
              </w:rPr>
              <w:t>n=5</w:t>
            </w: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GB" w:eastAsia="es-ES"/>
              </w:rPr>
              <w:t>Average</w:t>
            </w:r>
          </w:p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GB" w:eastAsia="es-ES"/>
              </w:rPr>
              <w:t>n=61</w:t>
            </w: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GB" w:eastAsia="es-ES"/>
              </w:rPr>
              <w:t>Above average</w:t>
            </w:r>
          </w:p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GB" w:eastAsia="es-ES"/>
              </w:rPr>
              <w:t>n=36</w:t>
            </w: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GB" w:eastAsia="es-ES"/>
              </w:rPr>
              <w:t>High</w:t>
            </w:r>
          </w:p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GB" w:eastAsia="es-ES"/>
              </w:rPr>
              <w:t>n=8</w:t>
            </w:r>
          </w:p>
        </w:tc>
        <w:tc>
          <w:tcPr>
            <w:tcW w:w="2333" w:type="dxa"/>
            <w:tcBorders>
              <w:bottom w:val="single" w:sz="4" w:space="0" w:color="auto"/>
            </w:tcBorders>
            <w:vAlign w:val="bottom"/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GB" w:eastAsia="es-ES"/>
              </w:rPr>
              <w:t>p-value</w:t>
            </w:r>
          </w:p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GB" w:eastAsia="es-ES"/>
              </w:rPr>
              <w:t>(Low vs High)</w:t>
            </w:r>
          </w:p>
        </w:tc>
      </w:tr>
      <w:tr w:rsidR="006400B2" w:rsidRPr="006400B2" w:rsidTr="00E31056">
        <w:tc>
          <w:tcPr>
            <w:tcW w:w="3009" w:type="dxa"/>
            <w:tcBorders>
              <w:top w:val="single" w:sz="4" w:space="0" w:color="auto"/>
            </w:tcBorders>
            <w:vAlign w:val="center"/>
          </w:tcPr>
          <w:p w:rsidR="006400B2" w:rsidRPr="006400B2" w:rsidRDefault="006400B2" w:rsidP="006400B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  <w:t>Openness to experience (O)</w:t>
            </w:r>
          </w:p>
        </w:tc>
        <w:tc>
          <w:tcPr>
            <w:tcW w:w="2332" w:type="dxa"/>
            <w:tcBorders>
              <w:top w:val="single" w:sz="4" w:space="0" w:color="auto"/>
            </w:tcBorders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26.6 (6.7)</w:t>
            </w:r>
          </w:p>
        </w:tc>
        <w:tc>
          <w:tcPr>
            <w:tcW w:w="2332" w:type="dxa"/>
            <w:tcBorders>
              <w:top w:val="single" w:sz="4" w:space="0" w:color="auto"/>
            </w:tcBorders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30.3 (6.6)</w:t>
            </w:r>
          </w:p>
        </w:tc>
        <w:tc>
          <w:tcPr>
            <w:tcW w:w="2332" w:type="dxa"/>
            <w:tcBorders>
              <w:top w:val="single" w:sz="4" w:space="0" w:color="auto"/>
            </w:tcBorders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34.9 (6.1)</w:t>
            </w:r>
          </w:p>
        </w:tc>
        <w:tc>
          <w:tcPr>
            <w:tcW w:w="2333" w:type="dxa"/>
            <w:tcBorders>
              <w:top w:val="single" w:sz="4" w:space="0" w:color="auto"/>
            </w:tcBorders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36.1 (6.5)</w:t>
            </w:r>
          </w:p>
        </w:tc>
        <w:tc>
          <w:tcPr>
            <w:tcW w:w="2333" w:type="dxa"/>
            <w:tcBorders>
              <w:top w:val="single" w:sz="4" w:space="0" w:color="auto"/>
            </w:tcBorders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0.035</w:t>
            </w:r>
          </w:p>
        </w:tc>
      </w:tr>
      <w:tr w:rsidR="006400B2" w:rsidRPr="006400B2" w:rsidTr="00E31056">
        <w:tc>
          <w:tcPr>
            <w:tcW w:w="3009" w:type="dxa"/>
            <w:vAlign w:val="center"/>
          </w:tcPr>
          <w:p w:rsidR="006400B2" w:rsidRPr="006400B2" w:rsidRDefault="006400B2" w:rsidP="006400B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  <w:t>Conscientiousness (C)</w:t>
            </w:r>
          </w:p>
        </w:tc>
        <w:tc>
          <w:tcPr>
            <w:tcW w:w="2332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22.6 (8.0)</w:t>
            </w:r>
          </w:p>
        </w:tc>
        <w:tc>
          <w:tcPr>
            <w:tcW w:w="2332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31.2 (7.6)</w:t>
            </w:r>
          </w:p>
        </w:tc>
        <w:tc>
          <w:tcPr>
            <w:tcW w:w="2332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33.0 (7.6)</w:t>
            </w:r>
          </w:p>
        </w:tc>
        <w:tc>
          <w:tcPr>
            <w:tcW w:w="2333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34.1 (9.0)</w:t>
            </w:r>
          </w:p>
        </w:tc>
        <w:tc>
          <w:tcPr>
            <w:tcW w:w="2333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0.039</w:t>
            </w:r>
          </w:p>
        </w:tc>
      </w:tr>
      <w:tr w:rsidR="006400B2" w:rsidRPr="006400B2" w:rsidTr="00E31056">
        <w:tc>
          <w:tcPr>
            <w:tcW w:w="3009" w:type="dxa"/>
            <w:vAlign w:val="center"/>
          </w:tcPr>
          <w:p w:rsidR="006400B2" w:rsidRPr="006400B2" w:rsidRDefault="006400B2" w:rsidP="006400B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  <w:t>Extraversion (E)</w:t>
            </w:r>
          </w:p>
        </w:tc>
        <w:tc>
          <w:tcPr>
            <w:tcW w:w="2332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22.6 (8.4)</w:t>
            </w:r>
          </w:p>
        </w:tc>
        <w:tc>
          <w:tcPr>
            <w:tcW w:w="2332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30.7 (6.2)</w:t>
            </w:r>
          </w:p>
        </w:tc>
        <w:tc>
          <w:tcPr>
            <w:tcW w:w="2332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33.7 (7.1)</w:t>
            </w:r>
          </w:p>
        </w:tc>
        <w:tc>
          <w:tcPr>
            <w:tcW w:w="2333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36.6 (5.4)</w:t>
            </w:r>
          </w:p>
        </w:tc>
        <w:tc>
          <w:tcPr>
            <w:tcW w:w="2333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0.015</w:t>
            </w:r>
          </w:p>
        </w:tc>
      </w:tr>
      <w:tr w:rsidR="006400B2" w:rsidRPr="006400B2" w:rsidTr="00E31056">
        <w:tc>
          <w:tcPr>
            <w:tcW w:w="3009" w:type="dxa"/>
            <w:vAlign w:val="center"/>
          </w:tcPr>
          <w:p w:rsidR="006400B2" w:rsidRPr="006400B2" w:rsidRDefault="006400B2" w:rsidP="006400B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  <w:t>Agreeableness (A)</w:t>
            </w:r>
          </w:p>
        </w:tc>
        <w:tc>
          <w:tcPr>
            <w:tcW w:w="2332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24.2 (9.7)</w:t>
            </w:r>
          </w:p>
        </w:tc>
        <w:tc>
          <w:tcPr>
            <w:tcW w:w="2332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29.0 (6.9)</w:t>
            </w:r>
          </w:p>
        </w:tc>
        <w:tc>
          <w:tcPr>
            <w:tcW w:w="2332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34.5 (5.5)</w:t>
            </w:r>
          </w:p>
        </w:tc>
        <w:tc>
          <w:tcPr>
            <w:tcW w:w="2333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31.9 (6.6)</w:t>
            </w:r>
          </w:p>
        </w:tc>
        <w:tc>
          <w:tcPr>
            <w:tcW w:w="2333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0.168</w:t>
            </w:r>
          </w:p>
        </w:tc>
      </w:tr>
      <w:tr w:rsidR="006400B2" w:rsidRPr="006400B2" w:rsidTr="00E31056">
        <w:tc>
          <w:tcPr>
            <w:tcW w:w="3009" w:type="dxa"/>
            <w:tcBorders>
              <w:bottom w:val="dashed" w:sz="4" w:space="0" w:color="auto"/>
            </w:tcBorders>
            <w:vAlign w:val="center"/>
          </w:tcPr>
          <w:p w:rsidR="006400B2" w:rsidRPr="006400B2" w:rsidRDefault="006400B2" w:rsidP="006400B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  <w:t>Neuroticism (N)</w:t>
            </w:r>
          </w:p>
        </w:tc>
        <w:tc>
          <w:tcPr>
            <w:tcW w:w="2332" w:type="dxa"/>
            <w:tcBorders>
              <w:bottom w:val="dashed" w:sz="4" w:space="0" w:color="auto"/>
            </w:tcBorders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27.2 (10.4)</w:t>
            </w:r>
          </w:p>
        </w:tc>
        <w:tc>
          <w:tcPr>
            <w:tcW w:w="2332" w:type="dxa"/>
            <w:tcBorders>
              <w:bottom w:val="dashed" w:sz="4" w:space="0" w:color="auto"/>
            </w:tcBorders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23.5 (8.8)</w:t>
            </w:r>
          </w:p>
        </w:tc>
        <w:tc>
          <w:tcPr>
            <w:tcW w:w="2332" w:type="dxa"/>
            <w:tcBorders>
              <w:bottom w:val="dashed" w:sz="4" w:space="0" w:color="auto"/>
            </w:tcBorders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21.7 (8.6)</w:t>
            </w:r>
          </w:p>
        </w:tc>
        <w:tc>
          <w:tcPr>
            <w:tcW w:w="2333" w:type="dxa"/>
            <w:tcBorders>
              <w:bottom w:val="dashed" w:sz="4" w:space="0" w:color="auto"/>
            </w:tcBorders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22.8 (6.1)</w:t>
            </w:r>
          </w:p>
        </w:tc>
        <w:tc>
          <w:tcPr>
            <w:tcW w:w="2333" w:type="dxa"/>
            <w:tcBorders>
              <w:bottom w:val="dashed" w:sz="4" w:space="0" w:color="auto"/>
            </w:tcBorders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0.422</w:t>
            </w:r>
          </w:p>
        </w:tc>
      </w:tr>
      <w:tr w:rsidR="006400B2" w:rsidRPr="006400B2" w:rsidTr="00E31056">
        <w:tc>
          <w:tcPr>
            <w:tcW w:w="3009" w:type="dxa"/>
            <w:tcBorders>
              <w:top w:val="dashed" w:sz="4" w:space="0" w:color="auto"/>
            </w:tcBorders>
            <w:vAlign w:val="center"/>
          </w:tcPr>
          <w:p w:rsidR="006400B2" w:rsidRPr="006400B2" w:rsidRDefault="006400B2" w:rsidP="006400B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  <w:t>Percentile O</w:t>
            </w:r>
          </w:p>
        </w:tc>
        <w:tc>
          <w:tcPr>
            <w:tcW w:w="2332" w:type="dxa"/>
            <w:tcBorders>
              <w:top w:val="dashed" w:sz="4" w:space="0" w:color="auto"/>
            </w:tcBorders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65.0 (45.0 - 65.0)</w:t>
            </w:r>
          </w:p>
        </w:tc>
        <w:tc>
          <w:tcPr>
            <w:tcW w:w="2332" w:type="dxa"/>
            <w:tcBorders>
              <w:top w:val="dashed" w:sz="4" w:space="0" w:color="auto"/>
            </w:tcBorders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70.0 (40.0 - 85.0)</w:t>
            </w:r>
          </w:p>
        </w:tc>
        <w:tc>
          <w:tcPr>
            <w:tcW w:w="2332" w:type="dxa"/>
            <w:tcBorders>
              <w:top w:val="dashed" w:sz="4" w:space="0" w:color="auto"/>
            </w:tcBorders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80.0 (63.8 - 95.2)</w:t>
            </w:r>
          </w:p>
        </w:tc>
        <w:tc>
          <w:tcPr>
            <w:tcW w:w="2333" w:type="dxa"/>
            <w:tcBorders>
              <w:top w:val="dashed" w:sz="4" w:space="0" w:color="auto"/>
            </w:tcBorders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88.0 (72.5 - 97.5)</w:t>
            </w:r>
          </w:p>
        </w:tc>
        <w:tc>
          <w:tcPr>
            <w:tcW w:w="2333" w:type="dxa"/>
            <w:tcBorders>
              <w:top w:val="dashed" w:sz="4" w:space="0" w:color="auto"/>
            </w:tcBorders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0.032</w:t>
            </w:r>
          </w:p>
        </w:tc>
      </w:tr>
      <w:tr w:rsidR="006400B2" w:rsidRPr="006400B2" w:rsidTr="00E31056">
        <w:tc>
          <w:tcPr>
            <w:tcW w:w="3009" w:type="dxa"/>
            <w:vAlign w:val="center"/>
          </w:tcPr>
          <w:p w:rsidR="006400B2" w:rsidRPr="006400B2" w:rsidRDefault="006400B2" w:rsidP="006400B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  <w:t>Percentile C</w:t>
            </w:r>
          </w:p>
        </w:tc>
        <w:tc>
          <w:tcPr>
            <w:tcW w:w="2332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15.0 (3.0 - 30.0)</w:t>
            </w:r>
          </w:p>
        </w:tc>
        <w:tc>
          <w:tcPr>
            <w:tcW w:w="2332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35.0 (15.0 - 60.0)</w:t>
            </w:r>
          </w:p>
        </w:tc>
        <w:tc>
          <w:tcPr>
            <w:tcW w:w="2332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52.5 (32.5 - 80.0)</w:t>
            </w:r>
          </w:p>
        </w:tc>
        <w:tc>
          <w:tcPr>
            <w:tcW w:w="2333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50.0 (23.8 - 91.2)</w:t>
            </w:r>
          </w:p>
        </w:tc>
        <w:tc>
          <w:tcPr>
            <w:tcW w:w="2333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0.067</w:t>
            </w:r>
          </w:p>
        </w:tc>
      </w:tr>
      <w:tr w:rsidR="006400B2" w:rsidRPr="006400B2" w:rsidTr="00E31056">
        <w:tc>
          <w:tcPr>
            <w:tcW w:w="3009" w:type="dxa"/>
            <w:vAlign w:val="center"/>
          </w:tcPr>
          <w:p w:rsidR="006400B2" w:rsidRPr="006400B2" w:rsidRDefault="006400B2" w:rsidP="006400B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  <w:t>Percentile E</w:t>
            </w:r>
          </w:p>
        </w:tc>
        <w:tc>
          <w:tcPr>
            <w:tcW w:w="2332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25.0 (20.0 - 30.0)</w:t>
            </w:r>
          </w:p>
        </w:tc>
        <w:tc>
          <w:tcPr>
            <w:tcW w:w="2332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50.0 (40.0 - 75.0)</w:t>
            </w:r>
          </w:p>
        </w:tc>
        <w:tc>
          <w:tcPr>
            <w:tcW w:w="2332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75.0 (48.8 - 95.0)</w:t>
            </w:r>
          </w:p>
        </w:tc>
        <w:tc>
          <w:tcPr>
            <w:tcW w:w="2333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85.0 (73.8 - 92.0)</w:t>
            </w:r>
          </w:p>
        </w:tc>
        <w:tc>
          <w:tcPr>
            <w:tcW w:w="2333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0.008</w:t>
            </w:r>
          </w:p>
        </w:tc>
      </w:tr>
      <w:tr w:rsidR="006400B2" w:rsidRPr="006400B2" w:rsidTr="00E31056">
        <w:tc>
          <w:tcPr>
            <w:tcW w:w="3009" w:type="dxa"/>
            <w:vAlign w:val="center"/>
          </w:tcPr>
          <w:p w:rsidR="006400B2" w:rsidRPr="006400B2" w:rsidRDefault="006400B2" w:rsidP="006400B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  <w:t>Percentile A</w:t>
            </w:r>
          </w:p>
        </w:tc>
        <w:tc>
          <w:tcPr>
            <w:tcW w:w="2332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5.0 (1.0 - 10.0)</w:t>
            </w:r>
          </w:p>
        </w:tc>
        <w:tc>
          <w:tcPr>
            <w:tcW w:w="2332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20.0 (10.0 - 45.0)</w:t>
            </w:r>
          </w:p>
        </w:tc>
        <w:tc>
          <w:tcPr>
            <w:tcW w:w="2332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45.0 (30.0 - 61.2)</w:t>
            </w:r>
          </w:p>
        </w:tc>
        <w:tc>
          <w:tcPr>
            <w:tcW w:w="2333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27.5 (13.8 - 52.5)</w:t>
            </w:r>
          </w:p>
        </w:tc>
        <w:tc>
          <w:tcPr>
            <w:tcW w:w="2333" w:type="dxa"/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0.077</w:t>
            </w:r>
          </w:p>
        </w:tc>
      </w:tr>
      <w:tr w:rsidR="006400B2" w:rsidRPr="006400B2" w:rsidTr="00E31056">
        <w:tc>
          <w:tcPr>
            <w:tcW w:w="3009" w:type="dxa"/>
            <w:tcBorders>
              <w:bottom w:val="single" w:sz="4" w:space="0" w:color="auto"/>
            </w:tcBorders>
            <w:vAlign w:val="center"/>
          </w:tcPr>
          <w:p w:rsidR="006400B2" w:rsidRPr="006400B2" w:rsidRDefault="006400B2" w:rsidP="006400B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MS Mincho" w:hAnsi="Times New Roman" w:cs="Times New Roman"/>
                <w:sz w:val="24"/>
                <w:szCs w:val="24"/>
                <w:lang w:val="en-GB" w:eastAsia="ja-JP"/>
              </w:rPr>
              <w:t>Percentile N</w:t>
            </w: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70.0 (65.0 - 80.0)</w:t>
            </w: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55.0 (30.0 - 75.0)</w:t>
            </w: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55.0 (15.0 - 70.0)</w:t>
            </w:r>
          </w:p>
        </w:tc>
        <w:tc>
          <w:tcPr>
            <w:tcW w:w="2333" w:type="dxa"/>
            <w:tcBorders>
              <w:bottom w:val="single" w:sz="4" w:space="0" w:color="auto"/>
            </w:tcBorders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55.0 (43.8 - 61.2)</w:t>
            </w:r>
          </w:p>
        </w:tc>
        <w:tc>
          <w:tcPr>
            <w:tcW w:w="2333" w:type="dxa"/>
            <w:tcBorders>
              <w:bottom w:val="single" w:sz="4" w:space="0" w:color="auto"/>
            </w:tcBorders>
          </w:tcPr>
          <w:p w:rsidR="006400B2" w:rsidRPr="006400B2" w:rsidRDefault="006400B2" w:rsidP="006400B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s-ES"/>
              </w:rPr>
            </w:pPr>
            <w:r w:rsidRPr="006400B2">
              <w:rPr>
                <w:rFonts w:ascii="Times New Roman" w:eastAsia="Calibri" w:hAnsi="Times New Roman" w:cs="Times New Roman"/>
                <w:sz w:val="24"/>
                <w:lang w:val="en-GB"/>
              </w:rPr>
              <w:t>0.300</w:t>
            </w:r>
          </w:p>
        </w:tc>
      </w:tr>
      <w:tr w:rsidR="006400B2" w:rsidRPr="006400B2" w:rsidTr="00E31056">
        <w:tc>
          <w:tcPr>
            <w:tcW w:w="14671" w:type="dxa"/>
            <w:gridSpan w:val="6"/>
            <w:tcBorders>
              <w:top w:val="single" w:sz="4" w:space="0" w:color="auto"/>
            </w:tcBorders>
          </w:tcPr>
          <w:p w:rsidR="006400B2" w:rsidRPr="006400B2" w:rsidRDefault="006400B2" w:rsidP="006400B2">
            <w:pPr>
              <w:spacing w:before="120" w:after="120"/>
              <w:jc w:val="both"/>
              <w:rPr>
                <w:rFonts w:ascii="Times New Roman" w:eastAsia="MS Mincho" w:hAnsi="Times New Roman" w:cs="Times New Roman"/>
                <w:sz w:val="20"/>
                <w:szCs w:val="24"/>
                <w:lang w:val="en-GB" w:eastAsia="ja-JP"/>
              </w:rPr>
            </w:pPr>
            <w:r w:rsidRPr="006400B2">
              <w:rPr>
                <w:rFonts w:ascii="Times New Roman" w:eastAsia="MS Mincho" w:hAnsi="Times New Roman" w:cs="Times New Roman"/>
                <w:sz w:val="20"/>
                <w:szCs w:val="24"/>
                <w:lang w:val="en-GB" w:eastAsia="ja-JP"/>
              </w:rPr>
              <w:t>Variables are presented as median and interquartile range, or mean and standard deviation. P-values correspond to the Mann-Whitney U test or the t-test comparing the extreme groups: low Empathy Quotient score vs high Empathy Quotient score.</w:t>
            </w:r>
          </w:p>
        </w:tc>
      </w:tr>
    </w:tbl>
    <w:p w:rsidR="006400B2" w:rsidRPr="006400B2" w:rsidRDefault="006400B2" w:rsidP="006400B2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val="en-GB" w:eastAsia="es-ES"/>
        </w:rPr>
      </w:pPr>
    </w:p>
    <w:p w:rsidR="006400B2" w:rsidRPr="006400B2" w:rsidRDefault="006400B2" w:rsidP="006400B2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val="en-GB" w:eastAsia="es-ES"/>
        </w:rPr>
      </w:pPr>
    </w:p>
    <w:p w:rsidR="006400B2" w:rsidRPr="006400B2" w:rsidRDefault="006400B2" w:rsidP="006400B2">
      <w:pPr>
        <w:spacing w:after="200" w:line="276" w:lineRule="auto"/>
        <w:rPr>
          <w:lang w:val="en-GB"/>
        </w:rPr>
      </w:pPr>
    </w:p>
    <w:p w:rsidR="007C153D" w:rsidRPr="006400B2" w:rsidRDefault="00451A70">
      <w:pPr>
        <w:rPr>
          <w:lang w:val="en-GB"/>
        </w:rPr>
      </w:pPr>
    </w:p>
    <w:sectPr w:rsidR="007C153D" w:rsidRPr="006400B2" w:rsidSect="007D3B8B">
      <w:footerReference w:type="default" r:id="rId7"/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A70" w:rsidRDefault="00451A70">
      <w:pPr>
        <w:spacing w:after="0" w:line="240" w:lineRule="auto"/>
      </w:pPr>
      <w:r>
        <w:separator/>
      </w:r>
    </w:p>
  </w:endnote>
  <w:endnote w:type="continuationSeparator" w:id="0">
    <w:p w:rsidR="00451A70" w:rsidRDefault="00451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8657825"/>
      <w:docPartObj>
        <w:docPartGallery w:val="Page Numbers (Bottom of Page)"/>
        <w:docPartUnique/>
      </w:docPartObj>
    </w:sdtPr>
    <w:sdtEndPr/>
    <w:sdtContent>
      <w:p w:rsidR="004540E6" w:rsidRDefault="006400B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8A1" w:rsidRPr="000538A1">
          <w:rPr>
            <w:noProof/>
            <w:lang w:val="es-ES"/>
          </w:rPr>
          <w:t>1</w:t>
        </w:r>
        <w:r>
          <w:fldChar w:fldCharType="end"/>
        </w:r>
      </w:p>
    </w:sdtContent>
  </w:sdt>
  <w:p w:rsidR="004540E6" w:rsidRDefault="00451A70">
    <w:pPr>
      <w:pStyle w:val="Footer"/>
    </w:pPr>
  </w:p>
  <w:p w:rsidR="004540E6" w:rsidRDefault="00451A70"/>
  <w:p w:rsidR="004540E6" w:rsidRDefault="00451A7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A70" w:rsidRDefault="00451A70">
      <w:pPr>
        <w:spacing w:after="0" w:line="240" w:lineRule="auto"/>
      </w:pPr>
      <w:r>
        <w:separator/>
      </w:r>
    </w:p>
  </w:footnote>
  <w:footnote w:type="continuationSeparator" w:id="0">
    <w:p w:rsidR="00451A70" w:rsidRDefault="00451A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6400B2"/>
    <w:rsid w:val="0000058B"/>
    <w:rsid w:val="000538A1"/>
    <w:rsid w:val="000D4832"/>
    <w:rsid w:val="001C2FE3"/>
    <w:rsid w:val="0039362A"/>
    <w:rsid w:val="004202BB"/>
    <w:rsid w:val="00451A70"/>
    <w:rsid w:val="004B3BF2"/>
    <w:rsid w:val="005B638C"/>
    <w:rsid w:val="00613D79"/>
    <w:rsid w:val="00620BA7"/>
    <w:rsid w:val="006400B2"/>
    <w:rsid w:val="006B4134"/>
    <w:rsid w:val="00747ED5"/>
    <w:rsid w:val="00894D48"/>
    <w:rsid w:val="00A71E39"/>
    <w:rsid w:val="00AA0B0D"/>
    <w:rsid w:val="00AE6E89"/>
    <w:rsid w:val="00C007FD"/>
    <w:rsid w:val="00C13031"/>
    <w:rsid w:val="00C53B31"/>
    <w:rsid w:val="00D05B95"/>
    <w:rsid w:val="00DC40A3"/>
    <w:rsid w:val="00DC4C64"/>
    <w:rsid w:val="00E078E6"/>
    <w:rsid w:val="00E764D5"/>
    <w:rsid w:val="00F0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400B2"/>
    <w:pPr>
      <w:tabs>
        <w:tab w:val="center" w:pos="4252"/>
        <w:tab w:val="right" w:pos="8504"/>
      </w:tabs>
      <w:spacing w:after="0" w:line="240" w:lineRule="auto"/>
    </w:pPr>
    <w:rPr>
      <w:lang w:val="ca-ES"/>
    </w:rPr>
  </w:style>
  <w:style w:type="character" w:customStyle="1" w:styleId="FooterChar">
    <w:name w:val="Footer Char"/>
    <w:basedOn w:val="DefaultParagraphFont"/>
    <w:link w:val="Footer"/>
    <w:uiPriority w:val="99"/>
    <w:rsid w:val="006400B2"/>
    <w:rPr>
      <w:lang w:val="ca-ES"/>
    </w:rPr>
  </w:style>
  <w:style w:type="table" w:styleId="TableGrid">
    <w:name w:val="Table Grid"/>
    <w:basedOn w:val="TableNormal"/>
    <w:uiPriority w:val="59"/>
    <w:rsid w:val="006400B2"/>
    <w:pPr>
      <w:spacing w:after="0" w:line="240" w:lineRule="auto"/>
    </w:pPr>
    <w:rPr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400B2"/>
    <w:pPr>
      <w:tabs>
        <w:tab w:val="center" w:pos="4252"/>
        <w:tab w:val="right" w:pos="8504"/>
      </w:tabs>
      <w:spacing w:after="0" w:line="240" w:lineRule="auto"/>
    </w:pPr>
    <w:rPr>
      <w:lang w:val="ca-ES"/>
    </w:rPr>
  </w:style>
  <w:style w:type="character" w:customStyle="1" w:styleId="FooterChar">
    <w:name w:val="Footer Char"/>
    <w:basedOn w:val="DefaultParagraphFont"/>
    <w:link w:val="Footer"/>
    <w:uiPriority w:val="99"/>
    <w:rsid w:val="006400B2"/>
    <w:rPr>
      <w:lang w:val="ca-ES"/>
    </w:rPr>
  </w:style>
  <w:style w:type="table" w:styleId="TableGrid">
    <w:name w:val="Table Grid"/>
    <w:basedOn w:val="TableNormal"/>
    <w:uiPriority w:val="59"/>
    <w:rsid w:val="006400B2"/>
    <w:pPr>
      <w:spacing w:after="0" w:line="240" w:lineRule="auto"/>
    </w:pPr>
    <w:rPr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2049</Characters>
  <Application>Microsoft Office Word</Application>
  <DocSecurity>0</DocSecurity>
  <Lines>157</Lines>
  <Paragraphs>153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Guilera Lladós</dc:creator>
  <cp:keywords/>
  <dc:description/>
  <cp:lastModifiedBy>DLAMBO</cp:lastModifiedBy>
  <cp:revision>4</cp:revision>
  <dcterms:created xsi:type="dcterms:W3CDTF">2018-06-27T09:06:00Z</dcterms:created>
  <dcterms:modified xsi:type="dcterms:W3CDTF">2019-02-05T02:32:00Z</dcterms:modified>
</cp:coreProperties>
</file>