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2BD" w:rsidRPr="00B5102F" w:rsidRDefault="00E832BD" w:rsidP="00E832B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102F">
        <w:rPr>
          <w:rFonts w:ascii="Times New Roman" w:hAnsi="Times New Roman" w:cs="Times New Roman"/>
          <w:b/>
          <w:sz w:val="24"/>
          <w:szCs w:val="24"/>
          <w:lang w:val="en-US"/>
        </w:rPr>
        <w:t>Supplementary table 1</w:t>
      </w:r>
      <w:r w:rsidRPr="00B5102F">
        <w:rPr>
          <w:rFonts w:ascii="Times New Roman" w:hAnsi="Times New Roman" w:cs="Times New Roman"/>
          <w:sz w:val="24"/>
          <w:szCs w:val="24"/>
          <w:lang w:val="en-US"/>
        </w:rPr>
        <w:t xml:space="preserve">: Basis of applied risk classification system (mod. after </w:t>
      </w:r>
      <w:proofErr w:type="spellStart"/>
      <w:r w:rsidRPr="00B5102F">
        <w:rPr>
          <w:rFonts w:ascii="Times New Roman" w:hAnsi="Times New Roman" w:cs="Times New Roman"/>
          <w:sz w:val="24"/>
          <w:szCs w:val="24"/>
          <w:lang w:val="en-US"/>
        </w:rPr>
        <w:t>Schmalz</w:t>
      </w:r>
      <w:proofErr w:type="spellEnd"/>
      <w:r w:rsidRPr="00B5102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B5102F">
        <w:rPr>
          <w:rFonts w:ascii="Times New Roman" w:hAnsi="Times New Roman" w:cs="Times New Roman"/>
          <w:sz w:val="24"/>
          <w:szCs w:val="24"/>
          <w:lang w:val="en-US"/>
        </w:rPr>
        <w:t>Ziebolz</w:t>
      </w:r>
      <w:proofErr w:type="spellEnd"/>
      <w:r w:rsidRPr="00B5102F">
        <w:rPr>
          <w:rFonts w:ascii="Times New Roman" w:hAnsi="Times New Roman" w:cs="Times New Roman"/>
          <w:sz w:val="24"/>
          <w:szCs w:val="24"/>
          <w:lang w:val="en-US"/>
        </w:rPr>
        <w:t xml:space="preserve"> 2020). </w:t>
      </w:r>
    </w:p>
    <w:tbl>
      <w:tblPr>
        <w:tblStyle w:val="Tabellenraster11"/>
        <w:tblW w:w="9697" w:type="dxa"/>
        <w:tblInd w:w="-651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893"/>
        <w:gridCol w:w="1655"/>
        <w:gridCol w:w="3075"/>
        <w:gridCol w:w="3074"/>
      </w:tblGrid>
      <w:tr w:rsidR="00E832BD" w:rsidRPr="00B5102F" w:rsidTr="00383E2E">
        <w:trPr>
          <w:trHeight w:val="178"/>
        </w:trPr>
        <w:tc>
          <w:tcPr>
            <w:tcW w:w="3548" w:type="dxa"/>
            <w:gridSpan w:val="2"/>
            <w:vMerge w:val="restart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Class</w:t>
            </w:r>
          </w:p>
        </w:tc>
        <w:tc>
          <w:tcPr>
            <w:tcW w:w="6149" w:type="dxa"/>
            <w:gridSpan w:val="2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Systemic diseases, medications, lifestyle factors</w:t>
            </w:r>
          </w:p>
        </w:tc>
      </w:tr>
      <w:tr w:rsidR="00E832BD" w:rsidRPr="00B5102F" w:rsidTr="00383E2E">
        <w:trPr>
          <w:trHeight w:val="177"/>
        </w:trPr>
        <w:tc>
          <w:tcPr>
            <w:tcW w:w="3548" w:type="dxa"/>
            <w:gridSpan w:val="2"/>
            <w:vMerge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b/>
                <w:sz w:val="24"/>
                <w:szCs w:val="24"/>
              </w:rPr>
              <w:t>Risk of complications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b/>
                <w:sz w:val="24"/>
                <w:szCs w:val="24"/>
              </w:rPr>
              <w:t>Risk of oral diseases</w:t>
            </w:r>
          </w:p>
        </w:tc>
      </w:tr>
      <w:tr w:rsidR="00E832BD" w:rsidRPr="00B5102F" w:rsidTr="00383E2E">
        <w:trPr>
          <w:trHeight w:val="985"/>
        </w:trPr>
        <w:tc>
          <w:tcPr>
            <w:tcW w:w="1893" w:type="dxa"/>
            <w:vMerge w:val="restart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b/>
                <w:sz w:val="24"/>
                <w:szCs w:val="24"/>
              </w:rPr>
              <w:t>Low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</w:rPr>
              <w:t>Definition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No increased risk of complications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No increased risk of oral disease</w:t>
            </w:r>
          </w:p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E832BD" w:rsidRPr="00B5102F" w:rsidTr="00383E2E">
        <w:trPr>
          <w:trHeight w:val="985"/>
        </w:trPr>
        <w:tc>
          <w:tcPr>
            <w:tcW w:w="1893" w:type="dxa"/>
            <w:vMerge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</w:rPr>
              <w:t>Examples</w:t>
            </w:r>
          </w:p>
        </w:tc>
        <w:tc>
          <w:tcPr>
            <w:tcW w:w="6149" w:type="dxa"/>
            <w:gridSpan w:val="2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Generally healthy patient, no medication, no harmful lifestyle factors</w:t>
            </w:r>
          </w:p>
        </w:tc>
      </w:tr>
      <w:tr w:rsidR="00E832BD" w:rsidRPr="00B5102F" w:rsidTr="00383E2E">
        <w:trPr>
          <w:trHeight w:val="985"/>
        </w:trPr>
        <w:tc>
          <w:tcPr>
            <w:tcW w:w="1893" w:type="dxa"/>
            <w:vMerge w:val="restart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b/>
                <w:sz w:val="24"/>
                <w:szCs w:val="24"/>
              </w:rPr>
              <w:t>Moderate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</w:rPr>
              <w:t>Definition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Moderately increased risk of complications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Moderately increased risk of oral diseases</w:t>
            </w:r>
          </w:p>
        </w:tc>
      </w:tr>
      <w:tr w:rsidR="00E832BD" w:rsidRPr="00B5102F" w:rsidTr="00383E2E">
        <w:trPr>
          <w:trHeight w:val="985"/>
        </w:trPr>
        <w:tc>
          <w:tcPr>
            <w:tcW w:w="1893" w:type="dxa"/>
            <w:vMerge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Examples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Well controlled COPD, oral bisphosphonate intake, alcohol consumption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Well controlled Diabetes mellitus (HbA1c &lt;7%), Antihypertensive medication (risk of </w:t>
            </w:r>
            <w:proofErr w:type="spellStart"/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xerostomia</w:t>
            </w:r>
            <w:proofErr w:type="spellEnd"/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), smoking &lt;10 cigarettes/day</w:t>
            </w:r>
          </w:p>
        </w:tc>
      </w:tr>
      <w:tr w:rsidR="00E832BD" w:rsidRPr="00B5102F" w:rsidTr="00383E2E">
        <w:trPr>
          <w:trHeight w:val="985"/>
        </w:trPr>
        <w:tc>
          <w:tcPr>
            <w:tcW w:w="1893" w:type="dxa"/>
            <w:vMerge w:val="restart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b/>
                <w:sz w:val="24"/>
                <w:szCs w:val="24"/>
              </w:rPr>
              <w:t>High</w:t>
            </w:r>
          </w:p>
        </w:tc>
        <w:tc>
          <w:tcPr>
            <w:tcW w:w="165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</w:rPr>
              <w:t>Definition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High risk of complications, potentially life-threatening risk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High risk of oral diseases</w:t>
            </w:r>
          </w:p>
        </w:tc>
      </w:tr>
      <w:tr w:rsidR="00E832BD" w:rsidRPr="00B5102F" w:rsidTr="00383E2E">
        <w:trPr>
          <w:trHeight w:val="985"/>
        </w:trPr>
        <w:tc>
          <w:tcPr>
            <w:tcW w:w="1893" w:type="dxa"/>
            <w:vMerge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</w:rPr>
              <w:t>Examples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Heart valve replacement, immunosuppressive medication, drug consumption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E832BD" w:rsidRPr="00B5102F" w:rsidRDefault="00E832BD" w:rsidP="00383E2E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5102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Insufficiently controlled diabetes mellitus (HbA1c &gt;7%), Cyclosporine A medication, smoking &gt;10 cigarettes/day</w:t>
            </w:r>
          </w:p>
        </w:tc>
      </w:tr>
    </w:tbl>
    <w:p w:rsidR="00E832BD" w:rsidRDefault="00E832BD">
      <w:bookmarkStart w:id="0" w:name="_GoBack"/>
      <w:bookmarkEnd w:id="0"/>
    </w:p>
    <w:sectPr w:rsidR="00E83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BD"/>
    <w:rsid w:val="0082312F"/>
    <w:rsid w:val="00E8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BD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enraster11">
    <w:name w:val="Tabellenraster11"/>
    <w:basedOn w:val="TableNormal"/>
    <w:next w:val="TableGrid"/>
    <w:uiPriority w:val="59"/>
    <w:rsid w:val="00E832BD"/>
    <w:pPr>
      <w:spacing w:after="0" w:line="240" w:lineRule="auto"/>
    </w:pPr>
    <w:rPr>
      <w:rFonts w:ascii="Calibri" w:eastAsia="Calibri" w:hAnsi="Calibri" w:cs="Times New Roman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832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BD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enraster11">
    <w:name w:val="Tabellenraster11"/>
    <w:basedOn w:val="TableNormal"/>
    <w:next w:val="TableGrid"/>
    <w:uiPriority w:val="59"/>
    <w:rsid w:val="00E832BD"/>
    <w:pPr>
      <w:spacing w:after="0" w:line="240" w:lineRule="auto"/>
    </w:pPr>
    <w:rPr>
      <w:rFonts w:ascii="Calibri" w:eastAsia="Calibri" w:hAnsi="Calibri" w:cs="Times New Roman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832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OC33</dc:creator>
  <cp:lastModifiedBy>OC33</cp:lastModifiedBy>
  <cp:revision>1</cp:revision>
  <dcterms:created xsi:type="dcterms:W3CDTF">2020-09-02T01:07:00Z</dcterms:created>
  <dcterms:modified xsi:type="dcterms:W3CDTF">2020-09-02T01:08:00Z</dcterms:modified>
</cp:coreProperties>
</file>