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366" w:rsidRPr="00306F9A" w:rsidRDefault="00CC1366" w:rsidP="00CC1366">
      <w:pPr>
        <w:pStyle w:val="Heading3"/>
      </w:pPr>
      <w:bookmarkStart w:id="0" w:name="_GoBack"/>
      <w:bookmarkEnd w:id="0"/>
      <w:r>
        <w:t>Supplementary File 2</w:t>
      </w:r>
      <w:r w:rsidRPr="00306F9A">
        <w:t>: Facilitators and barriers to learning in each workshop</w:t>
      </w:r>
    </w:p>
    <w:tbl>
      <w:tblPr>
        <w:tblW w:w="9643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993"/>
        <w:gridCol w:w="992"/>
        <w:gridCol w:w="993"/>
        <w:gridCol w:w="992"/>
        <w:gridCol w:w="993"/>
        <w:gridCol w:w="994"/>
      </w:tblGrid>
      <w:tr w:rsidR="00CC1366" w:rsidRPr="002C2365" w:rsidTr="0067173D">
        <w:trPr>
          <w:trHeight w:val="885"/>
          <w:jc w:val="center"/>
        </w:trPr>
        <w:tc>
          <w:tcPr>
            <w:tcW w:w="1560" w:type="dxa"/>
            <w:tcBorders>
              <w:top w:val="double" w:sz="4" w:space="0" w:color="7F7F7F"/>
              <w:left w:val="nil"/>
              <w:bottom w:val="double" w:sz="4" w:space="0" w:color="7F7F7F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>Theme</w:t>
            </w:r>
          </w:p>
        </w:tc>
        <w:tc>
          <w:tcPr>
            <w:tcW w:w="2126" w:type="dxa"/>
            <w:tcBorders>
              <w:top w:val="double" w:sz="4" w:space="0" w:color="7F7F7F"/>
              <w:left w:val="nil"/>
              <w:bottom w:val="double" w:sz="4" w:space="0" w:color="7F7F7F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>Encompasses</w:t>
            </w:r>
          </w:p>
        </w:tc>
        <w:tc>
          <w:tcPr>
            <w:tcW w:w="1985" w:type="dxa"/>
            <w:gridSpan w:val="2"/>
            <w:tcBorders>
              <w:top w:val="double" w:sz="4" w:space="0" w:color="7F7F7F"/>
              <w:left w:val="nil"/>
              <w:bottom w:val="double" w:sz="4" w:space="0" w:color="7F7F7F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>1. Choosing the right Antibiotic</w:t>
            </w: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4"/>
                <w:lang w:eastAsia="en-GB"/>
              </w:rPr>
            </w:pPr>
            <w:proofErr w:type="gramStart"/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>Medicine  Pharmacy</w:t>
            </w:r>
            <w:proofErr w:type="gramEnd"/>
          </w:p>
        </w:tc>
        <w:tc>
          <w:tcPr>
            <w:tcW w:w="1985" w:type="dxa"/>
            <w:gridSpan w:val="2"/>
            <w:tcBorders>
              <w:top w:val="double" w:sz="4" w:space="0" w:color="7F7F7F"/>
              <w:left w:val="single" w:sz="4" w:space="0" w:color="auto"/>
              <w:bottom w:val="double" w:sz="4" w:space="0" w:color="7F7F7F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>2. Significant Event Audit</w:t>
            </w: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sz w:val="18"/>
                <w:lang w:eastAsia="en-GB"/>
              </w:rPr>
            </w:pPr>
            <w:proofErr w:type="gramStart"/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>Medicine  Pharmacy</w:t>
            </w:r>
            <w:proofErr w:type="gramEnd"/>
          </w:p>
        </w:tc>
        <w:tc>
          <w:tcPr>
            <w:tcW w:w="1987" w:type="dxa"/>
            <w:gridSpan w:val="2"/>
            <w:tcBorders>
              <w:top w:val="double" w:sz="4" w:space="0" w:color="7F7F7F"/>
              <w:left w:val="single" w:sz="4" w:space="0" w:color="auto"/>
              <w:bottom w:val="double" w:sz="4" w:space="0" w:color="7F7F7F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 xml:space="preserve">3. </w:t>
            </w:r>
            <w:proofErr w:type="spellStart"/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>SimMan</w:t>
            </w:r>
            <w:proofErr w:type="spellEnd"/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</w:pPr>
            <w:proofErr w:type="gramStart"/>
            <w:r w:rsidRPr="002C2365">
              <w:rPr>
                <w:rFonts w:eastAsia="Times New Roman" w:cs="Arial"/>
                <w:b/>
                <w:bCs/>
                <w:color w:val="000000"/>
                <w:sz w:val="18"/>
                <w:lang w:eastAsia="en-GB"/>
              </w:rPr>
              <w:t>Medicine  Pharmacy</w:t>
            </w:r>
            <w:proofErr w:type="gramEnd"/>
          </w:p>
        </w:tc>
      </w:tr>
      <w:tr w:rsidR="00CC1366" w:rsidRPr="002C2365" w:rsidTr="0067173D">
        <w:trPr>
          <w:trHeight w:val="394"/>
          <w:jc w:val="center"/>
        </w:trPr>
        <w:tc>
          <w:tcPr>
            <w:tcW w:w="9643" w:type="dxa"/>
            <w:gridSpan w:val="8"/>
            <w:tcBorders>
              <w:top w:val="double" w:sz="4" w:space="0" w:color="808080" w:themeColor="background1" w:themeShade="80"/>
              <w:left w:val="nil"/>
              <w:bottom w:val="double" w:sz="4" w:space="0" w:color="808080" w:themeColor="background1" w:themeShade="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2C2365">
              <w:rPr>
                <w:rFonts w:eastAsia="Times New Roman" w:cs="Arial"/>
                <w:b/>
                <w:bCs/>
                <w:i/>
                <w:iCs/>
                <w:color w:val="000000"/>
                <w:lang w:eastAsia="en-GB"/>
              </w:rPr>
              <w:t>Give examples of what you found interesting or helpful</w:t>
            </w:r>
          </w:p>
        </w:tc>
      </w:tr>
      <w:tr w:rsidR="00CC1366" w:rsidRPr="002C2365" w:rsidTr="0067173D">
        <w:trPr>
          <w:trHeight w:val="455"/>
          <w:jc w:val="center"/>
        </w:trPr>
        <w:tc>
          <w:tcPr>
            <w:tcW w:w="1560" w:type="dxa"/>
            <w:tcBorders>
              <w:top w:val="doub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Learning techniques</w:t>
            </w:r>
          </w:p>
        </w:tc>
        <w:tc>
          <w:tcPr>
            <w:tcW w:w="2126" w:type="dxa"/>
            <w:tcBorders>
              <w:top w:val="doub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line="240" w:lineRule="auto"/>
              <w:jc w:val="center"/>
              <w:rPr>
                <w:rFonts w:cs="Arial"/>
                <w:color w:val="000000"/>
                <w:sz w:val="18"/>
              </w:rPr>
            </w:pPr>
            <w:r w:rsidRPr="002C2365">
              <w:rPr>
                <w:rFonts w:cs="Arial"/>
                <w:color w:val="000000"/>
                <w:sz w:val="18"/>
              </w:rPr>
              <w:t>Acronyms, cases, terminology etc.</w:t>
            </w:r>
          </w:p>
        </w:tc>
        <w:tc>
          <w:tcPr>
            <w:tcW w:w="993" w:type="dxa"/>
            <w:tcBorders>
              <w:top w:val="doub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23</w:t>
            </w:r>
          </w:p>
        </w:tc>
        <w:tc>
          <w:tcPr>
            <w:tcW w:w="992" w:type="dxa"/>
            <w:tcBorders>
              <w:top w:val="doub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13</w:t>
            </w:r>
          </w:p>
        </w:tc>
        <w:tc>
          <w:tcPr>
            <w:tcW w:w="993" w:type="dxa"/>
            <w:tcBorders>
              <w:top w:val="doub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</w:t>
            </w:r>
          </w:p>
        </w:tc>
        <w:tc>
          <w:tcPr>
            <w:tcW w:w="992" w:type="dxa"/>
            <w:tcBorders>
              <w:top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6</w:t>
            </w:r>
          </w:p>
        </w:tc>
        <w:tc>
          <w:tcPr>
            <w:tcW w:w="993" w:type="dxa"/>
            <w:tcBorders>
              <w:top w:val="doub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994" w:type="dxa"/>
            <w:tcBorders>
              <w:top w:val="doub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8</w:t>
            </w:r>
          </w:p>
        </w:tc>
      </w:tr>
      <w:tr w:rsidR="00CC1366" w:rsidRPr="002C2365" w:rsidTr="0067173D">
        <w:trPr>
          <w:trHeight w:val="513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Practical skills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Prescribing, interpreting lab results etc.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37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19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16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10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12</w:t>
            </w:r>
          </w:p>
        </w:tc>
      </w:tr>
      <w:tr w:rsidR="00CC1366" w:rsidRPr="002C2365" w:rsidTr="0067173D">
        <w:trPr>
          <w:trHeight w:val="265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Understanding &amp; Reasoning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 xml:space="preserve">Roles of others. Why an approach is taken e.g. ABCDE 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17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7</w:t>
            </w:r>
          </w:p>
        </w:tc>
      </w:tr>
      <w:tr w:rsidR="00CC1366" w:rsidRPr="002C2365" w:rsidTr="0067173D">
        <w:trPr>
          <w:trHeight w:val="375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Teamwork</w:t>
            </w: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Skill of working with others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19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19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12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14</w:t>
            </w:r>
          </w:p>
        </w:tc>
      </w:tr>
      <w:tr w:rsidR="00CC1366" w:rsidRPr="002C2365" w:rsidTr="0067173D">
        <w:trPr>
          <w:trHeight w:val="343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Teaching resources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proofErr w:type="spellStart"/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SimMan</w:t>
            </w:r>
            <w:proofErr w:type="spellEnd"/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, MCQs, workbook, videos etc.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27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8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47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23</w:t>
            </w:r>
          </w:p>
        </w:tc>
      </w:tr>
      <w:tr w:rsidR="00CC1366" w:rsidRPr="002C2365" w:rsidTr="0067173D">
        <w:trPr>
          <w:trHeight w:val="418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Teaching techniques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Role play, facilitation etc.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19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8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50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49</w:t>
            </w:r>
          </w:p>
        </w:tc>
      </w:tr>
      <w:tr w:rsidR="00CC1366" w:rsidRPr="002C2365" w:rsidTr="0067173D">
        <w:trPr>
          <w:trHeight w:val="410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Logistics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Group size, room size etc.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</w:t>
            </w:r>
          </w:p>
        </w:tc>
      </w:tr>
      <w:tr w:rsidR="00CC1366" w:rsidRPr="002C2365" w:rsidTr="0067173D">
        <w:trPr>
          <w:trHeight w:val="417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Reflection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Importance/value of interdisciplinary learning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6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16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8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11</w:t>
            </w:r>
          </w:p>
        </w:tc>
      </w:tr>
      <w:tr w:rsidR="00CC1366" w:rsidRPr="002C2365" w:rsidTr="0067173D">
        <w:trPr>
          <w:trHeight w:val="60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NA/No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</w:tr>
      <w:tr w:rsidR="00CC1366" w:rsidRPr="002C2365" w:rsidTr="0067173D">
        <w:trPr>
          <w:trHeight w:val="269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doub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No answer provided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doub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doub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22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doub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61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doub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31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68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doub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11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doub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33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9643" w:type="dxa"/>
            <w:gridSpan w:val="8"/>
            <w:tcBorders>
              <w:top w:val="double" w:sz="4" w:space="0" w:color="808080" w:themeColor="background1" w:themeShade="80"/>
              <w:left w:val="nil"/>
              <w:bottom w:val="double" w:sz="4" w:space="0" w:color="808080" w:themeColor="background1" w:themeShade="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lang w:eastAsia="en-GB"/>
              </w:rPr>
            </w:pPr>
            <w:r w:rsidRPr="002C2365">
              <w:rPr>
                <w:rFonts w:eastAsia="Times New Roman" w:cs="Arial"/>
                <w:b/>
                <w:bCs/>
                <w:i/>
                <w:iCs/>
                <w:color w:val="000000"/>
                <w:lang w:eastAsia="en-GB"/>
              </w:rPr>
              <w:t>What specific aspects hindered learning and how could they be addressed?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1560" w:type="dxa"/>
            <w:tcBorders>
              <w:top w:val="doub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Logistics</w:t>
            </w:r>
          </w:p>
        </w:tc>
        <w:tc>
          <w:tcPr>
            <w:tcW w:w="2126" w:type="dxa"/>
            <w:tcBorders>
              <w:top w:val="doub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cs="Arial"/>
                <w:color w:val="000000"/>
                <w:sz w:val="18"/>
              </w:rPr>
              <w:t>Timing, room size, group size etc.</w:t>
            </w:r>
          </w:p>
        </w:tc>
        <w:tc>
          <w:tcPr>
            <w:tcW w:w="993" w:type="dxa"/>
            <w:tcBorders>
              <w:top w:val="doub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4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doub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4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9</w:t>
            </w:r>
          </w:p>
        </w:tc>
        <w:tc>
          <w:tcPr>
            <w:tcW w:w="993" w:type="dxa"/>
            <w:tcBorders>
              <w:top w:val="doub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15</w:t>
            </w:r>
          </w:p>
        </w:tc>
        <w:tc>
          <w:tcPr>
            <w:tcW w:w="993" w:type="dxa"/>
            <w:tcBorders>
              <w:top w:val="doub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19</w:t>
            </w:r>
          </w:p>
        </w:tc>
        <w:tc>
          <w:tcPr>
            <w:tcW w:w="994" w:type="dxa"/>
            <w:tcBorders>
              <w:top w:val="doub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25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Educational content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 xml:space="preserve">Lack of </w:t>
            </w:r>
            <w:proofErr w:type="gramStart"/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sufficient</w:t>
            </w:r>
            <w:proofErr w:type="gramEnd"/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 xml:space="preserve"> prior knowledge, topic accessibility etc.  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15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13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9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4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12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Teamwork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 xml:space="preserve">Lack of co-operation, not enough medical students etc. 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17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6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</w:p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4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Utilisation of resources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 xml:space="preserve">Use </w:t>
            </w:r>
            <w:proofErr w:type="spellStart"/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SimMan</w:t>
            </w:r>
            <w:proofErr w:type="spellEnd"/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 xml:space="preserve"> more, more MCQs etc.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16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6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25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10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Personal factors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Sleepiness, having to leave early etc.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3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Reflection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Importance/value of training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0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NA/No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26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20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16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21</w:t>
            </w:r>
          </w:p>
        </w:tc>
      </w:tr>
      <w:tr w:rsidR="00CC1366" w:rsidRPr="002C2365" w:rsidTr="0067173D">
        <w:trPr>
          <w:trHeight w:val="422"/>
          <w:jc w:val="center"/>
        </w:trPr>
        <w:tc>
          <w:tcPr>
            <w:tcW w:w="1560" w:type="dxa"/>
            <w:tcBorders>
              <w:top w:val="single" w:sz="4" w:space="0" w:color="808080" w:themeColor="background1" w:themeShade="80"/>
              <w:left w:val="nil"/>
              <w:bottom w:val="double" w:sz="4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No answer provided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nil"/>
              <w:bottom w:val="double" w:sz="4" w:space="0" w:color="808080" w:themeColor="background1" w:themeShade="80"/>
              <w:right w:val="single" w:sz="8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double" w:sz="4" w:space="0" w:color="808080" w:themeColor="background1" w:themeShade="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49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nil"/>
              <w:bottom w:val="double" w:sz="4" w:space="0" w:color="808080" w:themeColor="background1" w:themeShade="80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66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double" w:sz="4" w:space="0" w:color="808080" w:themeColor="background1" w:themeShade="80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51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auto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71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auto"/>
              <w:bottom w:val="doub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25</w:t>
            </w:r>
          </w:p>
        </w:tc>
        <w:tc>
          <w:tcPr>
            <w:tcW w:w="994" w:type="dxa"/>
            <w:tcBorders>
              <w:top w:val="single" w:sz="4" w:space="0" w:color="808080" w:themeColor="background1" w:themeShade="80"/>
              <w:bottom w:val="doub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CC1366" w:rsidRPr="002C2365" w:rsidRDefault="00CC1366" w:rsidP="006717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lang w:eastAsia="en-GB"/>
              </w:rPr>
            </w:pPr>
            <w:r w:rsidRPr="002C2365">
              <w:rPr>
                <w:rFonts w:eastAsia="Times New Roman" w:cs="Arial"/>
                <w:color w:val="000000"/>
                <w:sz w:val="18"/>
                <w:lang w:eastAsia="en-GB"/>
              </w:rPr>
              <w:t>56</w:t>
            </w:r>
          </w:p>
        </w:tc>
      </w:tr>
    </w:tbl>
    <w:p w:rsidR="00CC1366" w:rsidRPr="002C2365" w:rsidRDefault="00CC1366" w:rsidP="00CC1366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en-GB"/>
        </w:rPr>
      </w:pPr>
    </w:p>
    <w:p w:rsidR="00FE6222" w:rsidRDefault="00CC1366" w:rsidP="00CC1366">
      <w:pPr>
        <w:spacing w:line="480" w:lineRule="auto"/>
        <w:jc w:val="both"/>
      </w:pPr>
      <w:r>
        <w:rPr>
          <w:rFonts w:eastAsia="Times New Roman" w:cs="Times New Roman"/>
          <w:b/>
          <w:color w:val="000000"/>
          <w:szCs w:val="24"/>
          <w:lang w:eastAsia="en-GB"/>
        </w:rPr>
        <w:t>Supplementary File</w:t>
      </w:r>
      <w:r w:rsidRPr="00306F9A">
        <w:rPr>
          <w:rFonts w:eastAsia="Times New Roman" w:cs="Times New Roman"/>
          <w:b/>
          <w:color w:val="000000"/>
          <w:szCs w:val="24"/>
          <w:lang w:eastAsia="en-GB"/>
        </w:rPr>
        <w:t xml:space="preserve"> 2 legend</w:t>
      </w:r>
      <w:r w:rsidRPr="002C2365">
        <w:rPr>
          <w:rFonts w:eastAsia="Times New Roman" w:cs="Times New Roman"/>
          <w:color w:val="000000"/>
          <w:szCs w:val="24"/>
          <w:lang w:eastAsia="en-GB"/>
        </w:rPr>
        <w:t xml:space="preserve">: </w:t>
      </w:r>
      <w:r>
        <w:rPr>
          <w:rFonts w:eastAsia="Times New Roman" w:cs="Times New Roman"/>
          <w:color w:val="000000"/>
          <w:szCs w:val="24"/>
          <w:lang w:eastAsia="en-GB"/>
        </w:rPr>
        <w:t xml:space="preserve">Thematic analysis of student free text responses </w:t>
      </w:r>
      <w:r>
        <w:t>to questions about f</w:t>
      </w:r>
      <w:r w:rsidRPr="00306F9A">
        <w:t>acilitators and barriers to learning in each workshop</w:t>
      </w:r>
      <w:r>
        <w:rPr>
          <w:rFonts w:eastAsia="Times New Roman" w:cs="Times New Roman"/>
          <w:color w:val="000000"/>
          <w:szCs w:val="24"/>
          <w:lang w:eastAsia="en-GB"/>
        </w:rPr>
        <w:t>. The table shows b</w:t>
      </w:r>
      <w:r>
        <w:t>road</w:t>
      </w:r>
      <w:r w:rsidRPr="007C308D">
        <w:t xml:space="preserve"> themes that arose from the data analysis</w:t>
      </w:r>
      <w:r>
        <w:t>, details about what each theme encompasses,</w:t>
      </w:r>
      <w:r w:rsidRPr="007C308D">
        <w:t xml:space="preserve"> and the number of responses within each theme by medical and pharmacy students.</w:t>
      </w:r>
      <w:r>
        <w:t xml:space="preserve"> </w:t>
      </w:r>
      <w:r>
        <w:rPr>
          <w:rFonts w:eastAsia="Times New Roman" w:cs="Times New Roman"/>
          <w:color w:val="000000"/>
          <w:szCs w:val="24"/>
          <w:lang w:eastAsia="en-GB"/>
        </w:rPr>
        <w:t>Abbreviations: MCQs, Multiple Choice Questions.</w:t>
      </w:r>
    </w:p>
    <w:sectPr w:rsidR="00FE6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66"/>
    <w:rsid w:val="00CC1366"/>
    <w:rsid w:val="00FE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A3CE9-41F5-4A47-B30E-7E379A79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366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CC1366"/>
    <w:pPr>
      <w:spacing w:before="100" w:beforeAutospacing="1" w:after="100" w:afterAutospacing="1" w:line="240" w:lineRule="auto"/>
      <w:outlineLvl w:val="2"/>
    </w:pPr>
    <w:rPr>
      <w:rFonts w:asciiTheme="majorHAnsi" w:eastAsia="Times New Roman" w:hAnsiTheme="majorHAnsi" w:cs="Times New Roman"/>
      <w:b/>
      <w:bCs/>
      <w:sz w:val="26"/>
      <w:szCs w:val="27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1366"/>
    <w:rPr>
      <w:rFonts w:asciiTheme="majorHAnsi" w:eastAsia="Times New Roman" w:hAnsiTheme="majorHAnsi" w:cs="Times New Roman"/>
      <w:b/>
      <w:bCs/>
      <w:sz w:val="26"/>
      <w:szCs w:val="27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Guilding</dc:creator>
  <cp:keywords/>
  <dc:description/>
  <cp:lastModifiedBy>Clare Guilding</cp:lastModifiedBy>
  <cp:revision>1</cp:revision>
  <dcterms:created xsi:type="dcterms:W3CDTF">2019-11-08T03:31:00Z</dcterms:created>
  <dcterms:modified xsi:type="dcterms:W3CDTF">2019-11-08T03:31:00Z</dcterms:modified>
</cp:coreProperties>
</file>