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01BD7" w14:textId="6BEE2DCD" w:rsidR="00D82B7F" w:rsidRDefault="00BB2BE8" w:rsidP="00892FAC">
      <w:pPr>
        <w:spacing w:after="0" w:line="480" w:lineRule="auto"/>
        <w:contextualSpacing/>
        <w:rPr>
          <w:rFonts w:ascii="Times New Roman" w:eastAsia="Times New Roman" w:hAnsi="Times New Roman" w:cs="Times New Roman"/>
          <w:b/>
          <w:bCs/>
          <w:sz w:val="24"/>
          <w:szCs w:val="24"/>
        </w:rPr>
      </w:pPr>
      <w:r w:rsidRPr="00D82B7F">
        <w:rPr>
          <w:rFonts w:ascii="Times New Roman" w:eastAsia="Times New Roman" w:hAnsi="Times New Roman" w:cs="Times New Roman"/>
          <w:b/>
          <w:bCs/>
          <w:sz w:val="24"/>
          <w:szCs w:val="24"/>
        </w:rPr>
        <w:t>Supplement -</w:t>
      </w:r>
      <w:r w:rsidR="00892FAC">
        <w:rPr>
          <w:rFonts w:ascii="Times New Roman" w:eastAsia="Times New Roman" w:hAnsi="Times New Roman" w:cs="Times New Roman"/>
          <w:sz w:val="24"/>
          <w:szCs w:val="24"/>
        </w:rPr>
        <w:t xml:space="preserve"> </w:t>
      </w:r>
      <w:r w:rsidR="00892FAC" w:rsidRPr="00D82B7F">
        <w:rPr>
          <w:rFonts w:ascii="Times New Roman" w:eastAsia="Times New Roman" w:hAnsi="Times New Roman" w:cs="Times New Roman"/>
          <w:b/>
          <w:bCs/>
          <w:sz w:val="24"/>
          <w:szCs w:val="24"/>
        </w:rPr>
        <w:t>Results and Tables related to Factor Analysis</w:t>
      </w:r>
    </w:p>
    <w:p w14:paraId="671DAA97" w14:textId="77777777" w:rsidR="00D82B7F" w:rsidRDefault="00D82B7F" w:rsidP="00892FAC">
      <w:pPr>
        <w:spacing w:after="0" w:line="480" w:lineRule="auto"/>
        <w:contextualSpacing/>
        <w:rPr>
          <w:rFonts w:ascii="Times New Roman" w:eastAsia="Times New Roman" w:hAnsi="Times New Roman" w:cs="Times New Roman"/>
          <w:sz w:val="24"/>
          <w:szCs w:val="24"/>
        </w:rPr>
      </w:pPr>
    </w:p>
    <w:p w14:paraId="1E622715" w14:textId="57551287" w:rsidR="00892FAC" w:rsidRPr="00AB4CC2" w:rsidRDefault="00892FAC" w:rsidP="00892FAC">
      <w:pPr>
        <w:spacing w:after="0" w:line="480" w:lineRule="auto"/>
        <w:contextualSpacing/>
        <w:rPr>
          <w:rFonts w:ascii="Times New Roman" w:eastAsia="Times New Roman" w:hAnsi="Times New Roman" w:cs="Times New Roman"/>
          <w:sz w:val="24"/>
          <w:szCs w:val="24"/>
        </w:rPr>
      </w:pPr>
      <w:r w:rsidRPr="00AB4CC2">
        <w:rPr>
          <w:rFonts w:ascii="Times New Roman" w:eastAsia="Times New Roman" w:hAnsi="Times New Roman" w:cs="Times New Roman"/>
          <w:sz w:val="24"/>
          <w:szCs w:val="24"/>
        </w:rPr>
        <w:t xml:space="preserve">MBI-SS factor analysis are summarized in </w:t>
      </w:r>
      <w:r w:rsidRPr="00AB6B34">
        <w:rPr>
          <w:rFonts w:ascii="Times New Roman" w:eastAsia="Times New Roman" w:hAnsi="Times New Roman" w:cs="Times New Roman"/>
          <w:sz w:val="24"/>
          <w:szCs w:val="24"/>
        </w:rPr>
        <w:t>Table A</w:t>
      </w:r>
      <w:r w:rsidRPr="00AB4C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B4CC2">
        <w:rPr>
          <w:rFonts w:ascii="Times New Roman" w:eastAsia="Times New Roman" w:hAnsi="Times New Roman" w:cs="Times New Roman"/>
          <w:sz w:val="24"/>
          <w:szCs w:val="24"/>
        </w:rPr>
        <w:t>Item loadings were comparable to prior publications using the 15-item MBI-SS and all items were significant</w:t>
      </w:r>
      <w:r w:rsidR="001619C1">
        <w:rPr>
          <w:rFonts w:ascii="Times New Roman" w:eastAsia="Times New Roman" w:hAnsi="Times New Roman" w:cs="Times New Roman"/>
          <w:sz w:val="24"/>
          <w:szCs w:val="24"/>
        </w:rPr>
        <w:t xml:space="preserve"> (1-3</w:t>
      </w:r>
      <w:r w:rsidR="00624A3C">
        <w:rPr>
          <w:rFonts w:ascii="Times New Roman" w:eastAsia="Times New Roman" w:hAnsi="Times New Roman" w:cs="Times New Roman"/>
          <w:sz w:val="24"/>
          <w:szCs w:val="24"/>
        </w:rPr>
        <w:t>).</w:t>
      </w:r>
      <w:r w:rsidRPr="00AB4CC2">
        <w:rPr>
          <w:rFonts w:ascii="Times New Roman" w:eastAsia="Times New Roman" w:hAnsi="Times New Roman" w:cs="Times New Roman"/>
          <w:sz w:val="24"/>
          <w:szCs w:val="24"/>
        </w:rPr>
        <w:t xml:space="preserve"> Items 1-5 were considered as EE and loaded negatively with AE and positively with CY.</w:t>
      </w:r>
      <w:r w:rsidR="001619C1">
        <w:rPr>
          <w:rFonts w:ascii="Times New Roman" w:eastAsia="Times New Roman" w:hAnsi="Times New Roman" w:cs="Times New Roman"/>
          <w:sz w:val="24"/>
          <w:szCs w:val="24"/>
        </w:rPr>
        <w:t xml:space="preserve"> </w:t>
      </w:r>
      <w:r w:rsidRPr="00AB4CC2">
        <w:rPr>
          <w:rFonts w:ascii="Times New Roman" w:eastAsia="Times New Roman" w:hAnsi="Times New Roman" w:cs="Times New Roman"/>
          <w:sz w:val="24"/>
          <w:szCs w:val="24"/>
        </w:rPr>
        <w:t xml:space="preserve">Items 6-11 were considered AE and loaded negatively with both EE and CY. Items 12-15 were considered CY and loaded positively with EE and negatively with AE. </w:t>
      </w:r>
      <w:bookmarkStart w:id="0" w:name="_Hlk48991939"/>
      <w:r w:rsidRPr="00AB4CC2">
        <w:rPr>
          <w:rFonts w:ascii="Times New Roman" w:eastAsia="Times New Roman" w:hAnsi="Times New Roman" w:cs="Times New Roman"/>
          <w:sz w:val="24"/>
          <w:szCs w:val="24"/>
        </w:rPr>
        <w:t xml:space="preserve">Correlations between the MBI-SS subscales were </w:t>
      </w:r>
      <w:proofErr w:type="gramStart"/>
      <w:r w:rsidRPr="00AB4CC2">
        <w:rPr>
          <w:rFonts w:ascii="Times New Roman" w:eastAsia="Times New Roman" w:hAnsi="Times New Roman" w:cs="Times New Roman"/>
          <w:sz w:val="24"/>
          <w:szCs w:val="24"/>
        </w:rPr>
        <w:t>similar to</w:t>
      </w:r>
      <w:proofErr w:type="gramEnd"/>
      <w:r w:rsidRPr="00AB4CC2">
        <w:rPr>
          <w:rFonts w:ascii="Times New Roman" w:eastAsia="Times New Roman" w:hAnsi="Times New Roman" w:cs="Times New Roman"/>
          <w:sz w:val="24"/>
          <w:szCs w:val="24"/>
        </w:rPr>
        <w:t xml:space="preserve"> prior publications </w:t>
      </w:r>
      <w:bookmarkEnd w:id="0"/>
      <w:r w:rsidRPr="00AB4CC2">
        <w:rPr>
          <w:rFonts w:ascii="Times New Roman" w:eastAsia="Times New Roman" w:hAnsi="Times New Roman" w:cs="Times New Roman"/>
          <w:sz w:val="24"/>
          <w:szCs w:val="24"/>
        </w:rPr>
        <w:t xml:space="preserve">and are shown in </w:t>
      </w:r>
      <w:r w:rsidRPr="00AB6B34">
        <w:rPr>
          <w:rFonts w:ascii="Times New Roman" w:eastAsia="Times New Roman" w:hAnsi="Times New Roman" w:cs="Times New Roman"/>
          <w:sz w:val="24"/>
          <w:szCs w:val="24"/>
        </w:rPr>
        <w:t>Table B</w:t>
      </w:r>
      <w:r w:rsidR="00CF08BA">
        <w:rPr>
          <w:rFonts w:ascii="Times New Roman" w:eastAsia="Times New Roman" w:hAnsi="Times New Roman" w:cs="Times New Roman"/>
          <w:sz w:val="24"/>
          <w:szCs w:val="24"/>
        </w:rPr>
        <w:t>.</w:t>
      </w:r>
      <w:r w:rsidRPr="00AB4CC2">
        <w:rPr>
          <w:rFonts w:ascii="Times New Roman" w:eastAsia="Times New Roman" w:hAnsi="Times New Roman" w:cs="Times New Roman"/>
          <w:sz w:val="24"/>
          <w:szCs w:val="24"/>
        </w:rPr>
        <w:t xml:space="preserve"> The subscale AE was negatively correlated with the EE and CY subscales while the EE and CY subscales were positively correlated.</w:t>
      </w:r>
    </w:p>
    <w:p w14:paraId="61F86E54" w14:textId="4212780B" w:rsidR="00892FAC" w:rsidRDefault="00892FAC" w:rsidP="00892FAC">
      <w:pPr>
        <w:spacing w:after="0" w:line="480" w:lineRule="auto"/>
        <w:contextualSpacing/>
        <w:rPr>
          <w:rFonts w:ascii="Times New Roman" w:eastAsia="Times New Roman" w:hAnsi="Times New Roman" w:cs="Times New Roman"/>
          <w:sz w:val="24"/>
          <w:szCs w:val="24"/>
        </w:rPr>
      </w:pPr>
    </w:p>
    <w:p w14:paraId="39F95585" w14:textId="3A6336E0" w:rsidR="00892FAC" w:rsidRPr="004E1391" w:rsidRDefault="00892FAC" w:rsidP="00892FAC">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of factor analysis results show</w:t>
      </w:r>
      <w:r w:rsidR="001619C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w:t>
      </w:r>
      <w:r w:rsidRPr="004E1391">
        <w:rPr>
          <w:rFonts w:ascii="Times New Roman" w:eastAsia="Times New Roman" w:hAnsi="Times New Roman" w:cs="Times New Roman"/>
          <w:sz w:val="24"/>
          <w:szCs w:val="24"/>
        </w:rPr>
        <w:t xml:space="preserve">he loading of the 15-item MBI-SS </w:t>
      </w:r>
      <w:r w:rsidR="001619C1">
        <w:rPr>
          <w:rFonts w:ascii="Times New Roman" w:eastAsia="Times New Roman" w:hAnsi="Times New Roman" w:cs="Times New Roman"/>
          <w:sz w:val="24"/>
          <w:szCs w:val="24"/>
        </w:rPr>
        <w:t>were</w:t>
      </w:r>
      <w:r w:rsidRPr="004E1391">
        <w:rPr>
          <w:rFonts w:ascii="Times New Roman" w:eastAsia="Times New Roman" w:hAnsi="Times New Roman" w:cs="Times New Roman"/>
          <w:sz w:val="24"/>
          <w:szCs w:val="24"/>
        </w:rPr>
        <w:t xml:space="preserve"> </w:t>
      </w:r>
      <w:proofErr w:type="gramStart"/>
      <w:r w:rsidRPr="004E1391">
        <w:rPr>
          <w:rFonts w:ascii="Times New Roman" w:eastAsia="Times New Roman" w:hAnsi="Times New Roman" w:cs="Times New Roman"/>
          <w:sz w:val="24"/>
          <w:szCs w:val="24"/>
        </w:rPr>
        <w:t>similar to</w:t>
      </w:r>
      <w:proofErr w:type="gramEnd"/>
      <w:r w:rsidRPr="004E1391">
        <w:rPr>
          <w:rFonts w:ascii="Times New Roman" w:eastAsia="Times New Roman" w:hAnsi="Times New Roman" w:cs="Times New Roman"/>
          <w:sz w:val="24"/>
          <w:szCs w:val="24"/>
        </w:rPr>
        <w:t xml:space="preserve"> previous investigations focusing on medical students</w:t>
      </w:r>
      <w:r w:rsidR="001619C1">
        <w:rPr>
          <w:rFonts w:ascii="Times New Roman" w:eastAsia="Times New Roman" w:hAnsi="Times New Roman" w:cs="Times New Roman"/>
          <w:sz w:val="24"/>
          <w:szCs w:val="24"/>
        </w:rPr>
        <w:t xml:space="preserve"> (1).</w:t>
      </w:r>
      <w:r w:rsidRPr="004E1391">
        <w:rPr>
          <w:rFonts w:ascii="Times New Roman" w:eastAsia="Times New Roman" w:hAnsi="Times New Roman" w:cs="Times New Roman"/>
          <w:sz w:val="24"/>
          <w:szCs w:val="24"/>
        </w:rPr>
        <w:t xml:space="preserve"> EE and CY were found to be positively correlated, while EE and CY were negatively correlated with AE. As expected, EE and CY should both increase in an individual with burnout. In comparison, a student’s AE should decrease with increased values of EE and CY. The negative between burnout and motivation for continued medical education was confirmed using the SMMS toolkit. Significance between burnout and the SMMS was noted between all subscales, in conjunction with the two- and three-dimensional models.</w:t>
      </w:r>
    </w:p>
    <w:p w14:paraId="504270E3" w14:textId="77777777" w:rsidR="0038767E" w:rsidRDefault="0038767E">
      <w:pPr>
        <w:rPr>
          <w:rFonts w:ascii="Times New Roman" w:hAnsi="Times New Roman" w:cs="Times New Roman"/>
          <w:b/>
          <w:bCs/>
          <w:sz w:val="24"/>
          <w:szCs w:val="24"/>
        </w:rPr>
      </w:pPr>
    </w:p>
    <w:p w14:paraId="1FE74B6D" w14:textId="77777777" w:rsidR="00FE2C02" w:rsidRDefault="00FE2C02">
      <w:pPr>
        <w:rPr>
          <w:rFonts w:ascii="Times New Roman" w:hAnsi="Times New Roman" w:cs="Times New Roman"/>
          <w:b/>
          <w:bCs/>
          <w:sz w:val="24"/>
          <w:szCs w:val="24"/>
        </w:rPr>
      </w:pPr>
      <w:r>
        <w:rPr>
          <w:rFonts w:ascii="Times New Roman" w:hAnsi="Times New Roman" w:cs="Times New Roman"/>
          <w:b/>
          <w:bCs/>
          <w:sz w:val="24"/>
          <w:szCs w:val="24"/>
        </w:rPr>
        <w:br w:type="page"/>
      </w:r>
    </w:p>
    <w:p w14:paraId="181C3987" w14:textId="15776195" w:rsidR="004E7A18" w:rsidRDefault="004E7A18" w:rsidP="004E7A18">
      <w:pPr>
        <w:rPr>
          <w:rFonts w:ascii="Times New Roman" w:hAnsi="Times New Roman" w:cs="Times New Roman"/>
          <w:sz w:val="24"/>
          <w:szCs w:val="24"/>
        </w:rPr>
      </w:pPr>
      <w:r>
        <w:rPr>
          <w:rFonts w:ascii="Times New Roman" w:hAnsi="Times New Roman" w:cs="Times New Roman"/>
          <w:b/>
          <w:bCs/>
          <w:sz w:val="24"/>
          <w:szCs w:val="24"/>
        </w:rPr>
        <w:lastRenderedPageBreak/>
        <w:t>Table A</w:t>
      </w:r>
      <w:r>
        <w:rPr>
          <w:rFonts w:ascii="Times New Roman" w:hAnsi="Times New Roman" w:cs="Times New Roman"/>
          <w:sz w:val="24"/>
          <w:szCs w:val="24"/>
        </w:rPr>
        <w:t xml:space="preserve">. </w:t>
      </w:r>
      <w:bookmarkStart w:id="1" w:name="_Hlk12814357"/>
      <w:r>
        <w:rPr>
          <w:rFonts w:ascii="Times New Roman" w:hAnsi="Times New Roman" w:cs="Times New Roman"/>
          <w:sz w:val="24"/>
          <w:szCs w:val="24"/>
        </w:rPr>
        <w:t>MBI-SS factor analysis loadings, n=273</w:t>
      </w:r>
      <w:bookmarkEnd w:id="1"/>
    </w:p>
    <w:tbl>
      <w:tblPr>
        <w:tblStyle w:val="TableGrid"/>
        <w:tblW w:w="7914" w:type="dxa"/>
        <w:jc w:val="center"/>
        <w:tblLook w:val="04A0" w:firstRow="1" w:lastRow="0" w:firstColumn="1" w:lastColumn="0" w:noHBand="0" w:noVBand="1"/>
      </w:tblPr>
      <w:tblGrid>
        <w:gridCol w:w="2245"/>
        <w:gridCol w:w="2423"/>
        <w:gridCol w:w="2080"/>
        <w:gridCol w:w="1166"/>
      </w:tblGrid>
      <w:tr w:rsidR="004E7A18" w:rsidRPr="007B3D96" w14:paraId="03F1F44D" w14:textId="77777777" w:rsidTr="00B706BD">
        <w:trPr>
          <w:jc w:val="center"/>
        </w:trPr>
        <w:tc>
          <w:tcPr>
            <w:tcW w:w="2245" w:type="dxa"/>
            <w:shd w:val="clear" w:color="auto" w:fill="auto"/>
          </w:tcPr>
          <w:p w14:paraId="0DD7ACAA" w14:textId="77777777" w:rsidR="004E7A18" w:rsidRPr="007B3D96" w:rsidRDefault="004E7A18" w:rsidP="00B706BD">
            <w:pPr>
              <w:rPr>
                <w:rFonts w:ascii="Times New Roman" w:hAnsi="Times New Roman" w:cs="Times New Roman"/>
              </w:rPr>
            </w:pPr>
          </w:p>
        </w:tc>
        <w:tc>
          <w:tcPr>
            <w:tcW w:w="2423" w:type="dxa"/>
            <w:shd w:val="clear" w:color="auto" w:fill="auto"/>
            <w:vAlign w:val="center"/>
          </w:tcPr>
          <w:p w14:paraId="2607A736" w14:textId="77777777" w:rsidR="004E7A18" w:rsidRPr="006C0738" w:rsidRDefault="004E7A18" w:rsidP="00B706BD">
            <w:pPr>
              <w:jc w:val="center"/>
              <w:rPr>
                <w:rFonts w:ascii="Times New Roman" w:hAnsi="Times New Roman" w:cs="Times New Roman"/>
                <w:b/>
                <w:bCs/>
              </w:rPr>
            </w:pPr>
            <w:r w:rsidRPr="006C0738">
              <w:rPr>
                <w:rFonts w:ascii="Times New Roman" w:hAnsi="Times New Roman" w:cs="Times New Roman"/>
                <w:b/>
                <w:bCs/>
              </w:rPr>
              <w:t>Emotional Exhaustion</w:t>
            </w:r>
          </w:p>
        </w:tc>
        <w:tc>
          <w:tcPr>
            <w:tcW w:w="2080" w:type="dxa"/>
            <w:shd w:val="clear" w:color="auto" w:fill="auto"/>
            <w:vAlign w:val="center"/>
          </w:tcPr>
          <w:p w14:paraId="0EA697F7" w14:textId="77777777" w:rsidR="004E7A18" w:rsidRPr="006C0738" w:rsidRDefault="004E7A18" w:rsidP="00B706BD">
            <w:pPr>
              <w:jc w:val="center"/>
              <w:rPr>
                <w:rFonts w:ascii="Times New Roman" w:hAnsi="Times New Roman" w:cs="Times New Roman"/>
                <w:b/>
                <w:bCs/>
              </w:rPr>
            </w:pPr>
            <w:r w:rsidRPr="006C0738">
              <w:rPr>
                <w:rFonts w:ascii="Times New Roman" w:hAnsi="Times New Roman" w:cs="Times New Roman"/>
                <w:b/>
                <w:bCs/>
              </w:rPr>
              <w:t>Academic Efficacy</w:t>
            </w:r>
          </w:p>
        </w:tc>
        <w:tc>
          <w:tcPr>
            <w:tcW w:w="1166" w:type="dxa"/>
            <w:vAlign w:val="center"/>
          </w:tcPr>
          <w:p w14:paraId="28208DF0" w14:textId="77777777" w:rsidR="004E7A18" w:rsidRPr="006C0738" w:rsidRDefault="004E7A18" w:rsidP="00B706BD">
            <w:pPr>
              <w:jc w:val="center"/>
              <w:rPr>
                <w:rFonts w:ascii="Times New Roman" w:hAnsi="Times New Roman" w:cs="Times New Roman"/>
                <w:b/>
                <w:bCs/>
                <w:vertAlign w:val="superscript"/>
              </w:rPr>
            </w:pPr>
            <w:r w:rsidRPr="006C0738">
              <w:rPr>
                <w:rFonts w:ascii="Times New Roman" w:hAnsi="Times New Roman" w:cs="Times New Roman"/>
                <w:b/>
                <w:bCs/>
              </w:rPr>
              <w:t>Cynicism</w:t>
            </w:r>
          </w:p>
        </w:tc>
      </w:tr>
      <w:tr w:rsidR="004E7A18" w:rsidRPr="007B3D96" w14:paraId="52BAA314" w14:textId="77777777" w:rsidTr="00B706BD">
        <w:trPr>
          <w:jc w:val="center"/>
        </w:trPr>
        <w:tc>
          <w:tcPr>
            <w:tcW w:w="7914" w:type="dxa"/>
            <w:gridSpan w:val="4"/>
            <w:shd w:val="clear" w:color="auto" w:fill="auto"/>
            <w:vAlign w:val="center"/>
          </w:tcPr>
          <w:p w14:paraId="7435E5B7" w14:textId="77777777" w:rsidR="004E7A18" w:rsidRPr="006C0738" w:rsidRDefault="004E7A18" w:rsidP="00B706BD">
            <w:pPr>
              <w:rPr>
                <w:rFonts w:ascii="Times New Roman" w:hAnsi="Times New Roman" w:cs="Times New Roman"/>
                <w:b/>
                <w:bCs/>
              </w:rPr>
            </w:pPr>
            <w:r w:rsidRPr="006C0738">
              <w:rPr>
                <w:rFonts w:ascii="Times New Roman" w:hAnsi="Times New Roman" w:cs="Times New Roman"/>
                <w:b/>
                <w:bCs/>
              </w:rPr>
              <w:t>Emotional Exhaustion</w:t>
            </w:r>
          </w:p>
        </w:tc>
      </w:tr>
      <w:tr w:rsidR="004E7A18" w:rsidRPr="007B3D96" w14:paraId="7F421CA5" w14:textId="77777777" w:rsidTr="00B706BD">
        <w:trPr>
          <w:jc w:val="center"/>
        </w:trPr>
        <w:tc>
          <w:tcPr>
            <w:tcW w:w="2245" w:type="dxa"/>
            <w:shd w:val="clear" w:color="auto" w:fill="auto"/>
            <w:vAlign w:val="center"/>
          </w:tcPr>
          <w:p w14:paraId="5D0F0B02"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ITEM 1</w:t>
            </w:r>
          </w:p>
        </w:tc>
        <w:tc>
          <w:tcPr>
            <w:tcW w:w="2423" w:type="dxa"/>
            <w:shd w:val="clear" w:color="auto" w:fill="auto"/>
          </w:tcPr>
          <w:p w14:paraId="25263647"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0.839</w:t>
            </w:r>
          </w:p>
        </w:tc>
        <w:tc>
          <w:tcPr>
            <w:tcW w:w="2080" w:type="dxa"/>
            <w:shd w:val="clear" w:color="auto" w:fill="auto"/>
          </w:tcPr>
          <w:p w14:paraId="45FD0082"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-0.377</w:t>
            </w:r>
          </w:p>
        </w:tc>
        <w:tc>
          <w:tcPr>
            <w:tcW w:w="1166" w:type="dxa"/>
            <w:shd w:val="clear" w:color="auto" w:fill="auto"/>
          </w:tcPr>
          <w:p w14:paraId="16095658"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0.650</w:t>
            </w:r>
          </w:p>
        </w:tc>
      </w:tr>
      <w:tr w:rsidR="004E7A18" w:rsidRPr="007B3D96" w14:paraId="58A889F0" w14:textId="77777777" w:rsidTr="00B706BD">
        <w:trPr>
          <w:jc w:val="center"/>
        </w:trPr>
        <w:tc>
          <w:tcPr>
            <w:tcW w:w="2245" w:type="dxa"/>
            <w:shd w:val="clear" w:color="auto" w:fill="auto"/>
            <w:vAlign w:val="center"/>
          </w:tcPr>
          <w:p w14:paraId="2651EC5D"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ITEM 2</w:t>
            </w:r>
          </w:p>
        </w:tc>
        <w:tc>
          <w:tcPr>
            <w:tcW w:w="2423" w:type="dxa"/>
            <w:shd w:val="clear" w:color="auto" w:fill="auto"/>
          </w:tcPr>
          <w:p w14:paraId="2FE58088"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0.819</w:t>
            </w:r>
          </w:p>
        </w:tc>
        <w:tc>
          <w:tcPr>
            <w:tcW w:w="2080" w:type="dxa"/>
            <w:shd w:val="clear" w:color="auto" w:fill="auto"/>
          </w:tcPr>
          <w:p w14:paraId="1280A598"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-0.341</w:t>
            </w:r>
          </w:p>
        </w:tc>
        <w:tc>
          <w:tcPr>
            <w:tcW w:w="1166" w:type="dxa"/>
            <w:shd w:val="clear" w:color="auto" w:fill="auto"/>
          </w:tcPr>
          <w:p w14:paraId="6C5D76EE"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0.560</w:t>
            </w:r>
          </w:p>
        </w:tc>
      </w:tr>
      <w:tr w:rsidR="004E7A18" w:rsidRPr="007B3D96" w14:paraId="1218A3AC" w14:textId="77777777" w:rsidTr="00B706BD">
        <w:trPr>
          <w:jc w:val="center"/>
        </w:trPr>
        <w:tc>
          <w:tcPr>
            <w:tcW w:w="2245" w:type="dxa"/>
            <w:shd w:val="clear" w:color="auto" w:fill="auto"/>
            <w:vAlign w:val="center"/>
          </w:tcPr>
          <w:p w14:paraId="54C0913B"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ITEM 3</w:t>
            </w:r>
          </w:p>
        </w:tc>
        <w:tc>
          <w:tcPr>
            <w:tcW w:w="2423" w:type="dxa"/>
            <w:shd w:val="clear" w:color="auto" w:fill="auto"/>
          </w:tcPr>
          <w:p w14:paraId="7A90647D"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0.828</w:t>
            </w:r>
          </w:p>
        </w:tc>
        <w:tc>
          <w:tcPr>
            <w:tcW w:w="2080" w:type="dxa"/>
            <w:shd w:val="clear" w:color="auto" w:fill="auto"/>
          </w:tcPr>
          <w:p w14:paraId="106C0A5F"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-0.309</w:t>
            </w:r>
          </w:p>
        </w:tc>
        <w:tc>
          <w:tcPr>
            <w:tcW w:w="1166" w:type="dxa"/>
            <w:shd w:val="clear" w:color="auto" w:fill="auto"/>
          </w:tcPr>
          <w:p w14:paraId="1BD694D6"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0.606</w:t>
            </w:r>
          </w:p>
        </w:tc>
      </w:tr>
      <w:tr w:rsidR="004E7A18" w:rsidRPr="007B3D96" w14:paraId="73EA5FD2" w14:textId="77777777" w:rsidTr="00B706BD">
        <w:trPr>
          <w:jc w:val="center"/>
        </w:trPr>
        <w:tc>
          <w:tcPr>
            <w:tcW w:w="2245" w:type="dxa"/>
            <w:shd w:val="clear" w:color="auto" w:fill="auto"/>
            <w:vAlign w:val="center"/>
          </w:tcPr>
          <w:p w14:paraId="564BAD5D"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ITEM 4</w:t>
            </w:r>
          </w:p>
        </w:tc>
        <w:tc>
          <w:tcPr>
            <w:tcW w:w="2423" w:type="dxa"/>
            <w:shd w:val="clear" w:color="auto" w:fill="auto"/>
          </w:tcPr>
          <w:p w14:paraId="3046A53F"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0.814</w:t>
            </w:r>
          </w:p>
        </w:tc>
        <w:tc>
          <w:tcPr>
            <w:tcW w:w="2080" w:type="dxa"/>
            <w:shd w:val="clear" w:color="auto" w:fill="auto"/>
          </w:tcPr>
          <w:p w14:paraId="213E4146"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-0.349</w:t>
            </w:r>
          </w:p>
        </w:tc>
        <w:tc>
          <w:tcPr>
            <w:tcW w:w="1166" w:type="dxa"/>
            <w:shd w:val="clear" w:color="auto" w:fill="auto"/>
          </w:tcPr>
          <w:p w14:paraId="6C5AD6AB"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0.705</w:t>
            </w:r>
          </w:p>
        </w:tc>
      </w:tr>
      <w:tr w:rsidR="004E7A18" w:rsidRPr="007B3D96" w14:paraId="2DA949A1" w14:textId="77777777" w:rsidTr="00B706BD">
        <w:trPr>
          <w:jc w:val="center"/>
        </w:trPr>
        <w:tc>
          <w:tcPr>
            <w:tcW w:w="2245" w:type="dxa"/>
            <w:shd w:val="clear" w:color="auto" w:fill="auto"/>
            <w:vAlign w:val="center"/>
          </w:tcPr>
          <w:p w14:paraId="016AE551"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ITEM 5</w:t>
            </w:r>
          </w:p>
        </w:tc>
        <w:tc>
          <w:tcPr>
            <w:tcW w:w="2423" w:type="dxa"/>
            <w:shd w:val="clear" w:color="auto" w:fill="auto"/>
          </w:tcPr>
          <w:p w14:paraId="7CEC08CC"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0.881</w:t>
            </w:r>
          </w:p>
        </w:tc>
        <w:tc>
          <w:tcPr>
            <w:tcW w:w="2080" w:type="dxa"/>
            <w:shd w:val="clear" w:color="auto" w:fill="auto"/>
          </w:tcPr>
          <w:p w14:paraId="061A790B"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-0.379</w:t>
            </w:r>
          </w:p>
        </w:tc>
        <w:tc>
          <w:tcPr>
            <w:tcW w:w="1166" w:type="dxa"/>
            <w:shd w:val="clear" w:color="auto" w:fill="auto"/>
          </w:tcPr>
          <w:p w14:paraId="40A24E79"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0.701</w:t>
            </w:r>
          </w:p>
        </w:tc>
      </w:tr>
      <w:tr w:rsidR="004E7A18" w:rsidRPr="007B3D96" w14:paraId="40624BF7" w14:textId="77777777" w:rsidTr="00B706BD">
        <w:trPr>
          <w:jc w:val="center"/>
        </w:trPr>
        <w:tc>
          <w:tcPr>
            <w:tcW w:w="7914" w:type="dxa"/>
            <w:gridSpan w:val="4"/>
            <w:shd w:val="clear" w:color="auto" w:fill="auto"/>
            <w:vAlign w:val="center"/>
          </w:tcPr>
          <w:p w14:paraId="527A7EE0" w14:textId="77777777" w:rsidR="004E7A18" w:rsidRPr="006C0738" w:rsidRDefault="004E7A18" w:rsidP="00B706BD">
            <w:pPr>
              <w:rPr>
                <w:rFonts w:ascii="Times New Roman" w:hAnsi="Times New Roman" w:cs="Times New Roman"/>
                <w:b/>
                <w:bCs/>
              </w:rPr>
            </w:pPr>
            <w:r w:rsidRPr="006C0738">
              <w:rPr>
                <w:rFonts w:ascii="Times New Roman" w:hAnsi="Times New Roman" w:cs="Times New Roman"/>
                <w:b/>
                <w:bCs/>
              </w:rPr>
              <w:t>Academic Efficacy</w:t>
            </w:r>
          </w:p>
        </w:tc>
      </w:tr>
      <w:tr w:rsidR="004E7A18" w:rsidRPr="007B3D96" w14:paraId="75681664" w14:textId="77777777" w:rsidTr="00B706BD">
        <w:trPr>
          <w:jc w:val="center"/>
        </w:trPr>
        <w:tc>
          <w:tcPr>
            <w:tcW w:w="2245" w:type="dxa"/>
            <w:shd w:val="clear" w:color="auto" w:fill="auto"/>
            <w:vAlign w:val="center"/>
          </w:tcPr>
          <w:p w14:paraId="16090E7C"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6</w:t>
            </w:r>
          </w:p>
        </w:tc>
        <w:tc>
          <w:tcPr>
            <w:tcW w:w="2423" w:type="dxa"/>
            <w:shd w:val="clear" w:color="auto" w:fill="auto"/>
          </w:tcPr>
          <w:p w14:paraId="747D7705"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-0.234</w:t>
            </w:r>
          </w:p>
        </w:tc>
        <w:tc>
          <w:tcPr>
            <w:tcW w:w="2080" w:type="dxa"/>
            <w:shd w:val="clear" w:color="auto" w:fill="auto"/>
          </w:tcPr>
          <w:p w14:paraId="0C4C0211"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0.627</w:t>
            </w:r>
          </w:p>
        </w:tc>
        <w:tc>
          <w:tcPr>
            <w:tcW w:w="1166" w:type="dxa"/>
            <w:shd w:val="clear" w:color="auto" w:fill="auto"/>
          </w:tcPr>
          <w:p w14:paraId="5AF7F468"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-0.285</w:t>
            </w:r>
          </w:p>
        </w:tc>
      </w:tr>
      <w:tr w:rsidR="004E7A18" w:rsidRPr="007B3D96" w14:paraId="2C44DEF2" w14:textId="77777777" w:rsidTr="00B706BD">
        <w:trPr>
          <w:jc w:val="center"/>
        </w:trPr>
        <w:tc>
          <w:tcPr>
            <w:tcW w:w="2245" w:type="dxa"/>
            <w:shd w:val="clear" w:color="auto" w:fill="auto"/>
            <w:vAlign w:val="center"/>
          </w:tcPr>
          <w:p w14:paraId="352FE7A6"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7</w:t>
            </w:r>
          </w:p>
        </w:tc>
        <w:tc>
          <w:tcPr>
            <w:tcW w:w="2423" w:type="dxa"/>
            <w:shd w:val="clear" w:color="auto" w:fill="auto"/>
          </w:tcPr>
          <w:p w14:paraId="09D6A5BF"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-0.258</w:t>
            </w:r>
          </w:p>
        </w:tc>
        <w:tc>
          <w:tcPr>
            <w:tcW w:w="2080" w:type="dxa"/>
            <w:shd w:val="clear" w:color="auto" w:fill="auto"/>
          </w:tcPr>
          <w:p w14:paraId="0AA14D15"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0.703</w:t>
            </w:r>
          </w:p>
        </w:tc>
        <w:tc>
          <w:tcPr>
            <w:tcW w:w="1166" w:type="dxa"/>
            <w:shd w:val="clear" w:color="auto" w:fill="auto"/>
          </w:tcPr>
          <w:p w14:paraId="6916D70C"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-0.318</w:t>
            </w:r>
          </w:p>
        </w:tc>
      </w:tr>
      <w:tr w:rsidR="004E7A18" w:rsidRPr="007B3D96" w14:paraId="61241E14" w14:textId="77777777" w:rsidTr="00B706BD">
        <w:trPr>
          <w:jc w:val="center"/>
        </w:trPr>
        <w:tc>
          <w:tcPr>
            <w:tcW w:w="2245" w:type="dxa"/>
            <w:shd w:val="clear" w:color="auto" w:fill="auto"/>
            <w:vAlign w:val="center"/>
          </w:tcPr>
          <w:p w14:paraId="6929BFDB"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8</w:t>
            </w:r>
          </w:p>
        </w:tc>
        <w:tc>
          <w:tcPr>
            <w:tcW w:w="2423" w:type="dxa"/>
            <w:shd w:val="clear" w:color="auto" w:fill="auto"/>
          </w:tcPr>
          <w:p w14:paraId="01B21B84"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-0.236</w:t>
            </w:r>
          </w:p>
        </w:tc>
        <w:tc>
          <w:tcPr>
            <w:tcW w:w="2080" w:type="dxa"/>
            <w:shd w:val="clear" w:color="auto" w:fill="auto"/>
          </w:tcPr>
          <w:p w14:paraId="28D63A19"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0.698</w:t>
            </w:r>
          </w:p>
        </w:tc>
        <w:tc>
          <w:tcPr>
            <w:tcW w:w="1166" w:type="dxa"/>
            <w:shd w:val="clear" w:color="auto" w:fill="auto"/>
          </w:tcPr>
          <w:p w14:paraId="3D7F8BD4"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-0.239</w:t>
            </w:r>
          </w:p>
        </w:tc>
      </w:tr>
      <w:tr w:rsidR="004E7A18" w:rsidRPr="007B3D96" w14:paraId="10C53579" w14:textId="77777777" w:rsidTr="00B706BD">
        <w:trPr>
          <w:jc w:val="center"/>
        </w:trPr>
        <w:tc>
          <w:tcPr>
            <w:tcW w:w="2245" w:type="dxa"/>
            <w:shd w:val="clear" w:color="auto" w:fill="auto"/>
            <w:vAlign w:val="center"/>
          </w:tcPr>
          <w:p w14:paraId="41A2CBD8"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9</w:t>
            </w:r>
          </w:p>
        </w:tc>
        <w:tc>
          <w:tcPr>
            <w:tcW w:w="2423" w:type="dxa"/>
            <w:shd w:val="clear" w:color="auto" w:fill="auto"/>
          </w:tcPr>
          <w:p w14:paraId="1D72EA7F"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-0.398</w:t>
            </w:r>
          </w:p>
        </w:tc>
        <w:tc>
          <w:tcPr>
            <w:tcW w:w="2080" w:type="dxa"/>
            <w:shd w:val="clear" w:color="auto" w:fill="auto"/>
          </w:tcPr>
          <w:p w14:paraId="5C9AD97C"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0.693</w:t>
            </w:r>
          </w:p>
        </w:tc>
        <w:tc>
          <w:tcPr>
            <w:tcW w:w="1166" w:type="dxa"/>
            <w:shd w:val="clear" w:color="auto" w:fill="auto"/>
          </w:tcPr>
          <w:p w14:paraId="3B965199"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-0.402</w:t>
            </w:r>
          </w:p>
        </w:tc>
      </w:tr>
      <w:tr w:rsidR="004E7A18" w:rsidRPr="007B3D96" w14:paraId="27B2DF92" w14:textId="77777777" w:rsidTr="00B706BD">
        <w:trPr>
          <w:jc w:val="center"/>
        </w:trPr>
        <w:tc>
          <w:tcPr>
            <w:tcW w:w="2245" w:type="dxa"/>
            <w:shd w:val="clear" w:color="auto" w:fill="auto"/>
            <w:vAlign w:val="center"/>
          </w:tcPr>
          <w:p w14:paraId="78A12318"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10</w:t>
            </w:r>
          </w:p>
        </w:tc>
        <w:tc>
          <w:tcPr>
            <w:tcW w:w="2423" w:type="dxa"/>
            <w:shd w:val="clear" w:color="auto" w:fill="auto"/>
          </w:tcPr>
          <w:p w14:paraId="58CC3C24"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-0.281</w:t>
            </w:r>
          </w:p>
        </w:tc>
        <w:tc>
          <w:tcPr>
            <w:tcW w:w="2080" w:type="dxa"/>
            <w:shd w:val="clear" w:color="auto" w:fill="auto"/>
          </w:tcPr>
          <w:p w14:paraId="2E2C04A0"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0.639</w:t>
            </w:r>
          </w:p>
        </w:tc>
        <w:tc>
          <w:tcPr>
            <w:tcW w:w="1166" w:type="dxa"/>
            <w:shd w:val="clear" w:color="auto" w:fill="auto"/>
          </w:tcPr>
          <w:p w14:paraId="69BA35E7"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-0.389</w:t>
            </w:r>
          </w:p>
        </w:tc>
      </w:tr>
      <w:tr w:rsidR="004E7A18" w:rsidRPr="007B3D96" w14:paraId="3246DA25" w14:textId="77777777" w:rsidTr="00B706BD">
        <w:trPr>
          <w:jc w:val="center"/>
        </w:trPr>
        <w:tc>
          <w:tcPr>
            <w:tcW w:w="2245" w:type="dxa"/>
            <w:shd w:val="clear" w:color="auto" w:fill="auto"/>
            <w:vAlign w:val="center"/>
          </w:tcPr>
          <w:p w14:paraId="1437B929"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11</w:t>
            </w:r>
          </w:p>
        </w:tc>
        <w:tc>
          <w:tcPr>
            <w:tcW w:w="2423" w:type="dxa"/>
            <w:shd w:val="clear" w:color="auto" w:fill="auto"/>
          </w:tcPr>
          <w:p w14:paraId="38C71A8F"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-0.340</w:t>
            </w:r>
          </w:p>
        </w:tc>
        <w:tc>
          <w:tcPr>
            <w:tcW w:w="2080" w:type="dxa"/>
            <w:shd w:val="clear" w:color="auto" w:fill="auto"/>
          </w:tcPr>
          <w:p w14:paraId="4952B06C"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0.790</w:t>
            </w:r>
          </w:p>
        </w:tc>
        <w:tc>
          <w:tcPr>
            <w:tcW w:w="1166" w:type="dxa"/>
            <w:shd w:val="clear" w:color="auto" w:fill="auto"/>
          </w:tcPr>
          <w:p w14:paraId="0446FC39"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-0.358</w:t>
            </w:r>
          </w:p>
        </w:tc>
      </w:tr>
      <w:tr w:rsidR="004E7A18" w:rsidRPr="007B3D96" w14:paraId="1755197D" w14:textId="77777777" w:rsidTr="00B706BD">
        <w:trPr>
          <w:jc w:val="center"/>
        </w:trPr>
        <w:tc>
          <w:tcPr>
            <w:tcW w:w="7914" w:type="dxa"/>
            <w:gridSpan w:val="4"/>
            <w:shd w:val="clear" w:color="auto" w:fill="auto"/>
            <w:vAlign w:val="center"/>
          </w:tcPr>
          <w:p w14:paraId="632B8333" w14:textId="77777777" w:rsidR="004E7A18" w:rsidRPr="006C0738" w:rsidRDefault="004E7A18" w:rsidP="00B706BD">
            <w:pPr>
              <w:rPr>
                <w:rFonts w:ascii="Times New Roman" w:hAnsi="Times New Roman" w:cs="Times New Roman"/>
                <w:b/>
                <w:bCs/>
              </w:rPr>
            </w:pPr>
            <w:r w:rsidRPr="006C0738">
              <w:rPr>
                <w:rFonts w:ascii="Times New Roman" w:hAnsi="Times New Roman" w:cs="Times New Roman"/>
                <w:b/>
                <w:bCs/>
              </w:rPr>
              <w:t xml:space="preserve">Cynicism </w:t>
            </w:r>
          </w:p>
        </w:tc>
      </w:tr>
      <w:tr w:rsidR="004E7A18" w:rsidRPr="007B3D96" w14:paraId="64B104D3" w14:textId="77777777" w:rsidTr="00B706BD">
        <w:trPr>
          <w:jc w:val="center"/>
        </w:trPr>
        <w:tc>
          <w:tcPr>
            <w:tcW w:w="2245" w:type="dxa"/>
            <w:shd w:val="clear" w:color="auto" w:fill="auto"/>
            <w:vAlign w:val="center"/>
          </w:tcPr>
          <w:p w14:paraId="36BFA1B5"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ITEM 1</w:t>
            </w:r>
            <w:r>
              <w:rPr>
                <w:rFonts w:ascii="Times New Roman" w:hAnsi="Times New Roman" w:cs="Times New Roman"/>
              </w:rPr>
              <w:t>2</w:t>
            </w:r>
          </w:p>
        </w:tc>
        <w:tc>
          <w:tcPr>
            <w:tcW w:w="2423" w:type="dxa"/>
            <w:shd w:val="clear" w:color="auto" w:fill="auto"/>
          </w:tcPr>
          <w:p w14:paraId="70AB79AA"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0.739</w:t>
            </w:r>
          </w:p>
        </w:tc>
        <w:tc>
          <w:tcPr>
            <w:tcW w:w="2080" w:type="dxa"/>
            <w:shd w:val="clear" w:color="auto" w:fill="auto"/>
          </w:tcPr>
          <w:p w14:paraId="7D675196"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-0.465</w:t>
            </w:r>
          </w:p>
        </w:tc>
        <w:tc>
          <w:tcPr>
            <w:tcW w:w="1166" w:type="dxa"/>
            <w:shd w:val="clear" w:color="auto" w:fill="auto"/>
          </w:tcPr>
          <w:p w14:paraId="7FB1D7CE"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0.861</w:t>
            </w:r>
          </w:p>
        </w:tc>
      </w:tr>
      <w:tr w:rsidR="004E7A18" w:rsidRPr="007B3D96" w14:paraId="265215F1" w14:textId="77777777" w:rsidTr="00B706BD">
        <w:trPr>
          <w:jc w:val="center"/>
        </w:trPr>
        <w:tc>
          <w:tcPr>
            <w:tcW w:w="2245" w:type="dxa"/>
            <w:shd w:val="clear" w:color="auto" w:fill="auto"/>
            <w:vAlign w:val="center"/>
          </w:tcPr>
          <w:p w14:paraId="761310C1"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13</w:t>
            </w:r>
          </w:p>
        </w:tc>
        <w:tc>
          <w:tcPr>
            <w:tcW w:w="2423" w:type="dxa"/>
            <w:shd w:val="clear" w:color="auto" w:fill="auto"/>
          </w:tcPr>
          <w:p w14:paraId="5476B0DA"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0.764</w:t>
            </w:r>
          </w:p>
        </w:tc>
        <w:tc>
          <w:tcPr>
            <w:tcW w:w="2080" w:type="dxa"/>
            <w:shd w:val="clear" w:color="auto" w:fill="auto"/>
          </w:tcPr>
          <w:p w14:paraId="686B7508"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-0.474</w:t>
            </w:r>
          </w:p>
        </w:tc>
        <w:tc>
          <w:tcPr>
            <w:tcW w:w="1166" w:type="dxa"/>
            <w:shd w:val="clear" w:color="auto" w:fill="auto"/>
          </w:tcPr>
          <w:p w14:paraId="7D75ABF0"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0.903</w:t>
            </w:r>
          </w:p>
        </w:tc>
      </w:tr>
      <w:tr w:rsidR="004E7A18" w:rsidRPr="007B3D96" w14:paraId="0FFF6584" w14:textId="77777777" w:rsidTr="00B706BD">
        <w:trPr>
          <w:jc w:val="center"/>
        </w:trPr>
        <w:tc>
          <w:tcPr>
            <w:tcW w:w="2245" w:type="dxa"/>
            <w:shd w:val="clear" w:color="auto" w:fill="auto"/>
            <w:vAlign w:val="center"/>
          </w:tcPr>
          <w:p w14:paraId="36208CDA"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14</w:t>
            </w:r>
          </w:p>
        </w:tc>
        <w:tc>
          <w:tcPr>
            <w:tcW w:w="2423" w:type="dxa"/>
            <w:shd w:val="clear" w:color="auto" w:fill="auto"/>
          </w:tcPr>
          <w:p w14:paraId="19C859EB"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0.647</w:t>
            </w:r>
          </w:p>
        </w:tc>
        <w:tc>
          <w:tcPr>
            <w:tcW w:w="2080" w:type="dxa"/>
            <w:shd w:val="clear" w:color="auto" w:fill="auto"/>
          </w:tcPr>
          <w:p w14:paraId="362E543A"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-0.366</w:t>
            </w:r>
          </w:p>
        </w:tc>
        <w:tc>
          <w:tcPr>
            <w:tcW w:w="1166" w:type="dxa"/>
            <w:shd w:val="clear" w:color="auto" w:fill="auto"/>
          </w:tcPr>
          <w:p w14:paraId="2A621654"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0.879</w:t>
            </w:r>
          </w:p>
        </w:tc>
      </w:tr>
      <w:tr w:rsidR="004E7A18" w:rsidRPr="007B3D96" w14:paraId="7F971C4A" w14:textId="77777777" w:rsidTr="00B706BD">
        <w:trPr>
          <w:jc w:val="center"/>
        </w:trPr>
        <w:tc>
          <w:tcPr>
            <w:tcW w:w="2245" w:type="dxa"/>
            <w:shd w:val="clear" w:color="auto" w:fill="auto"/>
          </w:tcPr>
          <w:p w14:paraId="53E639FD" w14:textId="77777777" w:rsidR="004E7A18" w:rsidRPr="007B3D96" w:rsidRDefault="004E7A18" w:rsidP="00B706BD">
            <w:pPr>
              <w:rPr>
                <w:rFonts w:ascii="Times New Roman" w:hAnsi="Times New Roman" w:cs="Times New Roman"/>
              </w:rPr>
            </w:pPr>
            <w:r w:rsidRPr="007B3D96">
              <w:rPr>
                <w:rFonts w:ascii="Times New Roman" w:hAnsi="Times New Roman" w:cs="Times New Roman"/>
              </w:rPr>
              <w:t xml:space="preserve">ITEM </w:t>
            </w:r>
            <w:r>
              <w:rPr>
                <w:rFonts w:ascii="Times New Roman" w:hAnsi="Times New Roman" w:cs="Times New Roman"/>
              </w:rPr>
              <w:t>15</w:t>
            </w:r>
          </w:p>
        </w:tc>
        <w:tc>
          <w:tcPr>
            <w:tcW w:w="2423" w:type="dxa"/>
            <w:shd w:val="clear" w:color="auto" w:fill="auto"/>
          </w:tcPr>
          <w:p w14:paraId="424B923A"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0.478</w:t>
            </w:r>
          </w:p>
        </w:tc>
        <w:tc>
          <w:tcPr>
            <w:tcW w:w="2080" w:type="dxa"/>
            <w:shd w:val="clear" w:color="auto" w:fill="auto"/>
          </w:tcPr>
          <w:p w14:paraId="68358373" w14:textId="77777777" w:rsidR="004E7A18" w:rsidRPr="007B3D96" w:rsidRDefault="004E7A18" w:rsidP="00B706BD">
            <w:pPr>
              <w:jc w:val="center"/>
              <w:rPr>
                <w:rFonts w:ascii="Times New Roman" w:hAnsi="Times New Roman" w:cs="Times New Roman"/>
              </w:rPr>
            </w:pPr>
            <w:r w:rsidRPr="007B3D96">
              <w:rPr>
                <w:rFonts w:ascii="Times New Roman" w:hAnsi="Times New Roman" w:cs="Times New Roman"/>
              </w:rPr>
              <w:t>-0.313</w:t>
            </w:r>
          </w:p>
        </w:tc>
        <w:tc>
          <w:tcPr>
            <w:tcW w:w="1166" w:type="dxa"/>
            <w:shd w:val="clear" w:color="auto" w:fill="auto"/>
          </w:tcPr>
          <w:p w14:paraId="6800BE72" w14:textId="77777777" w:rsidR="004E7A18" w:rsidRPr="007B3D96" w:rsidRDefault="004E7A18" w:rsidP="00B706BD">
            <w:pPr>
              <w:jc w:val="center"/>
              <w:rPr>
                <w:rFonts w:ascii="Times New Roman" w:hAnsi="Times New Roman" w:cs="Times New Roman"/>
                <w:b/>
                <w:bCs/>
              </w:rPr>
            </w:pPr>
            <w:r w:rsidRPr="007B3D96">
              <w:rPr>
                <w:rFonts w:ascii="Times New Roman" w:hAnsi="Times New Roman" w:cs="Times New Roman"/>
              </w:rPr>
              <w:t>0.776</w:t>
            </w:r>
          </w:p>
        </w:tc>
      </w:tr>
    </w:tbl>
    <w:p w14:paraId="1363605F" w14:textId="77777777" w:rsidR="004E7A18" w:rsidRDefault="004E7A18" w:rsidP="004E7A18">
      <w:pPr>
        <w:rPr>
          <w:rFonts w:ascii="Times New Roman" w:hAnsi="Times New Roman" w:cs="Times New Roman"/>
          <w:b/>
          <w:bCs/>
          <w:sz w:val="24"/>
          <w:szCs w:val="24"/>
        </w:rPr>
      </w:pPr>
    </w:p>
    <w:p w14:paraId="24389B05" w14:textId="77777777" w:rsidR="004E7A18" w:rsidRDefault="004E7A18" w:rsidP="004E7A18">
      <w:pPr>
        <w:rPr>
          <w:rFonts w:ascii="Times New Roman" w:hAnsi="Times New Roman" w:cs="Times New Roman"/>
          <w:sz w:val="24"/>
          <w:szCs w:val="24"/>
        </w:rPr>
      </w:pPr>
      <w:r w:rsidRPr="00D649F6">
        <w:rPr>
          <w:rFonts w:ascii="Times New Roman" w:hAnsi="Times New Roman" w:cs="Times New Roman"/>
          <w:b/>
          <w:bCs/>
          <w:sz w:val="24"/>
          <w:szCs w:val="24"/>
        </w:rPr>
        <w:t xml:space="preserve">Table </w:t>
      </w:r>
      <w:r>
        <w:rPr>
          <w:rFonts w:ascii="Times New Roman" w:hAnsi="Times New Roman" w:cs="Times New Roman"/>
          <w:b/>
          <w:bCs/>
          <w:sz w:val="24"/>
          <w:szCs w:val="24"/>
        </w:rPr>
        <w:t>B</w:t>
      </w:r>
      <w:r w:rsidRPr="00D649F6">
        <w:rPr>
          <w:rFonts w:ascii="Times New Roman" w:hAnsi="Times New Roman" w:cs="Times New Roman"/>
          <w:b/>
          <w:bCs/>
          <w:sz w:val="24"/>
          <w:szCs w:val="24"/>
        </w:rPr>
        <w:t>.</w:t>
      </w:r>
      <w:r>
        <w:rPr>
          <w:rFonts w:ascii="Times New Roman" w:hAnsi="Times New Roman" w:cs="Times New Roman"/>
          <w:sz w:val="24"/>
          <w:szCs w:val="24"/>
        </w:rPr>
        <w:t xml:space="preserve"> MBI-SS subscale correlations, n=273</w:t>
      </w:r>
    </w:p>
    <w:tbl>
      <w:tblPr>
        <w:tblStyle w:val="TableGrid"/>
        <w:tblW w:w="6748" w:type="dxa"/>
        <w:jc w:val="center"/>
        <w:tblLook w:val="04A0" w:firstRow="1" w:lastRow="0" w:firstColumn="1" w:lastColumn="0" w:noHBand="0" w:noVBand="1"/>
      </w:tblPr>
      <w:tblGrid>
        <w:gridCol w:w="2245"/>
        <w:gridCol w:w="2423"/>
        <w:gridCol w:w="2080"/>
      </w:tblGrid>
      <w:tr w:rsidR="004E7A18" w:rsidRPr="006C0738" w14:paraId="0376B370" w14:textId="77777777" w:rsidTr="00B706BD">
        <w:trPr>
          <w:jc w:val="center"/>
        </w:trPr>
        <w:tc>
          <w:tcPr>
            <w:tcW w:w="2245" w:type="dxa"/>
            <w:shd w:val="clear" w:color="auto" w:fill="auto"/>
          </w:tcPr>
          <w:p w14:paraId="2A9FE762" w14:textId="77777777" w:rsidR="004E7A18" w:rsidRPr="007B3D96" w:rsidRDefault="004E7A18" w:rsidP="00B706BD">
            <w:pPr>
              <w:rPr>
                <w:rFonts w:ascii="Times New Roman" w:hAnsi="Times New Roman" w:cs="Times New Roman"/>
              </w:rPr>
            </w:pPr>
          </w:p>
        </w:tc>
        <w:tc>
          <w:tcPr>
            <w:tcW w:w="2423" w:type="dxa"/>
            <w:shd w:val="clear" w:color="auto" w:fill="auto"/>
            <w:vAlign w:val="center"/>
          </w:tcPr>
          <w:p w14:paraId="537C68E7" w14:textId="77777777" w:rsidR="004E7A18" w:rsidRPr="006C0738" w:rsidRDefault="004E7A18" w:rsidP="00B706BD">
            <w:pPr>
              <w:jc w:val="center"/>
              <w:rPr>
                <w:rFonts w:ascii="Times New Roman" w:hAnsi="Times New Roman" w:cs="Times New Roman"/>
                <w:b/>
                <w:bCs/>
              </w:rPr>
            </w:pPr>
            <w:r w:rsidRPr="006C0738">
              <w:rPr>
                <w:rFonts w:ascii="Times New Roman" w:hAnsi="Times New Roman" w:cs="Times New Roman"/>
                <w:b/>
                <w:bCs/>
              </w:rPr>
              <w:t>Emotional Exhaustion</w:t>
            </w:r>
          </w:p>
        </w:tc>
        <w:tc>
          <w:tcPr>
            <w:tcW w:w="2080" w:type="dxa"/>
            <w:shd w:val="clear" w:color="auto" w:fill="auto"/>
            <w:vAlign w:val="center"/>
          </w:tcPr>
          <w:p w14:paraId="66D138A3" w14:textId="77777777" w:rsidR="004E7A18" w:rsidRPr="006C0738" w:rsidRDefault="004E7A18" w:rsidP="00B706BD">
            <w:pPr>
              <w:jc w:val="center"/>
              <w:rPr>
                <w:rFonts w:ascii="Times New Roman" w:hAnsi="Times New Roman" w:cs="Times New Roman"/>
                <w:b/>
                <w:bCs/>
              </w:rPr>
            </w:pPr>
            <w:r w:rsidRPr="006C0738">
              <w:rPr>
                <w:rFonts w:ascii="Times New Roman" w:hAnsi="Times New Roman" w:cs="Times New Roman"/>
                <w:b/>
                <w:bCs/>
              </w:rPr>
              <w:t>Academic Efficacy</w:t>
            </w:r>
          </w:p>
        </w:tc>
      </w:tr>
      <w:tr w:rsidR="004E7A18" w:rsidRPr="006C0738" w14:paraId="71D27F5D" w14:textId="77777777" w:rsidTr="00B706BD">
        <w:trPr>
          <w:jc w:val="center"/>
        </w:trPr>
        <w:tc>
          <w:tcPr>
            <w:tcW w:w="2245" w:type="dxa"/>
            <w:shd w:val="clear" w:color="auto" w:fill="auto"/>
          </w:tcPr>
          <w:p w14:paraId="7BCE8A94" w14:textId="77777777" w:rsidR="004E7A18" w:rsidRPr="007B3D96" w:rsidRDefault="004E7A18" w:rsidP="00B706BD">
            <w:pPr>
              <w:rPr>
                <w:rFonts w:ascii="Times New Roman" w:hAnsi="Times New Roman" w:cs="Times New Roman"/>
              </w:rPr>
            </w:pPr>
            <w:r w:rsidRPr="006C0738">
              <w:rPr>
                <w:rFonts w:ascii="Times New Roman" w:hAnsi="Times New Roman" w:cs="Times New Roman"/>
                <w:b/>
                <w:bCs/>
              </w:rPr>
              <w:t>Academic Efficacy</w:t>
            </w:r>
          </w:p>
        </w:tc>
        <w:tc>
          <w:tcPr>
            <w:tcW w:w="2423" w:type="dxa"/>
            <w:shd w:val="clear" w:color="auto" w:fill="auto"/>
            <w:vAlign w:val="center"/>
          </w:tcPr>
          <w:p w14:paraId="3DA74720" w14:textId="77777777" w:rsidR="004E7A18" w:rsidRPr="002F166C" w:rsidRDefault="004E7A18" w:rsidP="00B706BD">
            <w:pPr>
              <w:jc w:val="center"/>
              <w:rPr>
                <w:rFonts w:ascii="Times New Roman" w:hAnsi="Times New Roman" w:cs="Times New Roman"/>
              </w:rPr>
            </w:pPr>
            <w:r w:rsidRPr="002F166C">
              <w:rPr>
                <w:rFonts w:ascii="Times New Roman" w:hAnsi="Times New Roman" w:cs="Times New Roman"/>
              </w:rPr>
              <w:t>-0.421</w:t>
            </w:r>
          </w:p>
        </w:tc>
        <w:tc>
          <w:tcPr>
            <w:tcW w:w="2080" w:type="dxa"/>
            <w:shd w:val="clear" w:color="auto" w:fill="auto"/>
            <w:vAlign w:val="center"/>
          </w:tcPr>
          <w:p w14:paraId="55607E1A" w14:textId="77777777" w:rsidR="004E7A18" w:rsidRPr="002F166C" w:rsidRDefault="004E7A18" w:rsidP="00B706BD">
            <w:pPr>
              <w:jc w:val="center"/>
              <w:rPr>
                <w:rFonts w:ascii="Times New Roman" w:hAnsi="Times New Roman" w:cs="Times New Roman"/>
              </w:rPr>
            </w:pPr>
          </w:p>
        </w:tc>
      </w:tr>
      <w:tr w:rsidR="004E7A18" w:rsidRPr="006C0738" w14:paraId="4917722F" w14:textId="77777777" w:rsidTr="00B706BD">
        <w:trPr>
          <w:jc w:val="center"/>
        </w:trPr>
        <w:tc>
          <w:tcPr>
            <w:tcW w:w="2245" w:type="dxa"/>
            <w:shd w:val="clear" w:color="auto" w:fill="auto"/>
          </w:tcPr>
          <w:p w14:paraId="336CFD69" w14:textId="77777777" w:rsidR="004E7A18" w:rsidRPr="007B3D96" w:rsidRDefault="004E7A18" w:rsidP="00B706BD">
            <w:pPr>
              <w:rPr>
                <w:rFonts w:ascii="Times New Roman" w:hAnsi="Times New Roman" w:cs="Times New Roman"/>
              </w:rPr>
            </w:pPr>
            <w:r w:rsidRPr="006C0738">
              <w:rPr>
                <w:rFonts w:ascii="Times New Roman" w:hAnsi="Times New Roman" w:cs="Times New Roman"/>
                <w:b/>
                <w:bCs/>
              </w:rPr>
              <w:t>Cynicism</w:t>
            </w:r>
          </w:p>
        </w:tc>
        <w:tc>
          <w:tcPr>
            <w:tcW w:w="2423" w:type="dxa"/>
            <w:shd w:val="clear" w:color="auto" w:fill="auto"/>
            <w:vAlign w:val="center"/>
          </w:tcPr>
          <w:p w14:paraId="77426AE6" w14:textId="77777777" w:rsidR="004E7A18" w:rsidRPr="002F166C" w:rsidRDefault="004E7A18" w:rsidP="00B706BD">
            <w:pPr>
              <w:jc w:val="center"/>
              <w:rPr>
                <w:rFonts w:ascii="Times New Roman" w:hAnsi="Times New Roman" w:cs="Times New Roman"/>
              </w:rPr>
            </w:pPr>
            <w:r w:rsidRPr="002F166C">
              <w:rPr>
                <w:rFonts w:ascii="Times New Roman" w:hAnsi="Times New Roman" w:cs="Times New Roman"/>
              </w:rPr>
              <w:t>0.770</w:t>
            </w:r>
          </w:p>
        </w:tc>
        <w:tc>
          <w:tcPr>
            <w:tcW w:w="2080" w:type="dxa"/>
            <w:shd w:val="clear" w:color="auto" w:fill="auto"/>
            <w:vAlign w:val="center"/>
          </w:tcPr>
          <w:p w14:paraId="4A0BFDE1" w14:textId="77777777" w:rsidR="004E7A18" w:rsidRPr="002F166C" w:rsidRDefault="004E7A18" w:rsidP="00B706BD">
            <w:pPr>
              <w:jc w:val="center"/>
              <w:rPr>
                <w:rFonts w:ascii="Times New Roman" w:hAnsi="Times New Roman" w:cs="Times New Roman"/>
              </w:rPr>
            </w:pPr>
            <w:r w:rsidRPr="002F166C">
              <w:rPr>
                <w:rFonts w:ascii="Times New Roman" w:hAnsi="Times New Roman" w:cs="Times New Roman"/>
              </w:rPr>
              <w:t>-0.486</w:t>
            </w:r>
          </w:p>
        </w:tc>
      </w:tr>
    </w:tbl>
    <w:p w14:paraId="213B8CC0" w14:textId="77777777" w:rsidR="001619C1" w:rsidRDefault="001619C1" w:rsidP="004E7A18">
      <w:pPr>
        <w:rPr>
          <w:rFonts w:ascii="Times New Roman" w:hAnsi="Times New Roman" w:cs="Times New Roman"/>
          <w:b/>
          <w:bCs/>
          <w:sz w:val="24"/>
          <w:szCs w:val="24"/>
        </w:rPr>
      </w:pPr>
    </w:p>
    <w:p w14:paraId="133D6FA2" w14:textId="77777777" w:rsidR="00637AD2" w:rsidRDefault="00637AD2" w:rsidP="004E7A18">
      <w:pPr>
        <w:rPr>
          <w:rFonts w:ascii="Times New Roman" w:hAnsi="Times New Roman" w:cs="Times New Roman"/>
          <w:b/>
          <w:bCs/>
          <w:sz w:val="24"/>
          <w:szCs w:val="24"/>
        </w:rPr>
      </w:pPr>
    </w:p>
    <w:p w14:paraId="38F1B380" w14:textId="194550E7" w:rsidR="001619C1" w:rsidRDefault="00D82B7F" w:rsidP="004E7A18">
      <w:pPr>
        <w:rPr>
          <w:rFonts w:ascii="Times New Roman" w:hAnsi="Times New Roman" w:cs="Times New Roman"/>
          <w:b/>
          <w:bCs/>
          <w:sz w:val="24"/>
          <w:szCs w:val="24"/>
        </w:rPr>
      </w:pPr>
      <w:r>
        <w:rPr>
          <w:rFonts w:ascii="Times New Roman" w:hAnsi="Times New Roman" w:cs="Times New Roman"/>
          <w:b/>
          <w:bCs/>
          <w:sz w:val="24"/>
          <w:szCs w:val="24"/>
        </w:rPr>
        <w:t xml:space="preserve">Supplement </w:t>
      </w:r>
      <w:r w:rsidR="001619C1">
        <w:rPr>
          <w:rFonts w:ascii="Times New Roman" w:hAnsi="Times New Roman" w:cs="Times New Roman"/>
          <w:b/>
          <w:bCs/>
          <w:sz w:val="24"/>
          <w:szCs w:val="24"/>
        </w:rPr>
        <w:t>References</w:t>
      </w:r>
    </w:p>
    <w:p w14:paraId="1D05C23C" w14:textId="77777777" w:rsidR="001619C1" w:rsidRPr="00D82B7F" w:rsidRDefault="001619C1" w:rsidP="00D82B7F">
      <w:pPr>
        <w:pStyle w:val="ListParagraph"/>
        <w:numPr>
          <w:ilvl w:val="0"/>
          <w:numId w:val="1"/>
        </w:numPr>
        <w:spacing w:line="480" w:lineRule="auto"/>
        <w:rPr>
          <w:rFonts w:ascii="Times New Roman" w:hAnsi="Times New Roman" w:cs="Times New Roman"/>
          <w:noProof/>
          <w:sz w:val="24"/>
          <w:szCs w:val="24"/>
        </w:rPr>
      </w:pPr>
      <w:r w:rsidRPr="00D82B7F">
        <w:rPr>
          <w:rFonts w:ascii="Times New Roman" w:hAnsi="Times New Roman" w:cs="Times New Roman"/>
          <w:noProof/>
          <w:sz w:val="24"/>
          <w:szCs w:val="24"/>
        </w:rPr>
        <w:t xml:space="preserve">Galán F, Sanmartín A, Polo J, Giner L. Burnout risk in medical students in Spain using the Maslach Burnout Inventory-Student Survey. Int Arch Occup Environ Health. 2011;84(4):453–9. </w:t>
      </w:r>
    </w:p>
    <w:p w14:paraId="07B88479" w14:textId="77777777" w:rsidR="001619C1" w:rsidRPr="00D82B7F" w:rsidRDefault="001619C1" w:rsidP="00D82B7F">
      <w:pPr>
        <w:pStyle w:val="ListParagraph"/>
        <w:widowControl w:val="0"/>
        <w:numPr>
          <w:ilvl w:val="0"/>
          <w:numId w:val="1"/>
        </w:numPr>
        <w:autoSpaceDE w:val="0"/>
        <w:autoSpaceDN w:val="0"/>
        <w:adjustRightInd w:val="0"/>
        <w:spacing w:after="0" w:line="480" w:lineRule="auto"/>
        <w:rPr>
          <w:rFonts w:ascii="Times New Roman" w:hAnsi="Times New Roman" w:cs="Times New Roman"/>
          <w:noProof/>
          <w:sz w:val="24"/>
          <w:szCs w:val="24"/>
        </w:rPr>
      </w:pPr>
      <w:r w:rsidRPr="00D82B7F">
        <w:rPr>
          <w:rFonts w:ascii="Times New Roman" w:hAnsi="Times New Roman" w:cs="Times New Roman"/>
          <w:noProof/>
          <w:sz w:val="24"/>
          <w:szCs w:val="24"/>
        </w:rPr>
        <w:t>Leibach G, Stern M. Critical Synthesis Package: Strength of Motivation for Medical School Revised (SMMS-R) Questionnaire. MedEdPORTAL Publ. 2014;</w:t>
      </w:r>
    </w:p>
    <w:p w14:paraId="23EF08B3" w14:textId="1A0DF984" w:rsidR="008A4BD0" w:rsidRPr="00FE2C02" w:rsidRDefault="001619C1" w:rsidP="00FE2C02">
      <w:pPr>
        <w:pStyle w:val="ListParagraph"/>
        <w:widowControl w:val="0"/>
        <w:numPr>
          <w:ilvl w:val="0"/>
          <w:numId w:val="1"/>
        </w:numPr>
        <w:autoSpaceDE w:val="0"/>
        <w:autoSpaceDN w:val="0"/>
        <w:adjustRightInd w:val="0"/>
        <w:spacing w:after="0" w:line="480" w:lineRule="auto"/>
        <w:rPr>
          <w:rFonts w:ascii="Times New Roman" w:hAnsi="Times New Roman" w:cs="Times New Roman"/>
          <w:noProof/>
          <w:sz w:val="24"/>
          <w:szCs w:val="24"/>
        </w:rPr>
      </w:pPr>
      <w:r w:rsidRPr="00D82B7F">
        <w:rPr>
          <w:rFonts w:ascii="Times New Roman" w:hAnsi="Times New Roman" w:cs="Times New Roman"/>
          <w:noProof/>
          <w:sz w:val="24"/>
          <w:szCs w:val="24"/>
        </w:rPr>
        <w:t xml:space="preserve">Portoghese I, Leiter MP, Maslach C, Galletta M, Porru F, D’Aloja E, et al. Measuring burnout among university students: Factorial validity, invariance, and latent profiles of the Italian Version of the Maslach Burnout Inventory Student Survey (MBI-SS). Front Psychol. 2018;9(NOV):1–9. </w:t>
      </w:r>
    </w:p>
    <w:sectPr w:rsidR="008A4BD0" w:rsidRPr="00FE2C02" w:rsidSect="00637AD2">
      <w:pgSz w:w="12240" w:h="15840"/>
      <w:pgMar w:top="117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DA0484"/>
    <w:multiLevelType w:val="hybridMultilevel"/>
    <w:tmpl w:val="D4FEA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AC"/>
    <w:rsid w:val="00031E31"/>
    <w:rsid w:val="000D2857"/>
    <w:rsid w:val="001619C1"/>
    <w:rsid w:val="0038767E"/>
    <w:rsid w:val="004E7A18"/>
    <w:rsid w:val="005B12E3"/>
    <w:rsid w:val="005C5F32"/>
    <w:rsid w:val="005D1B1E"/>
    <w:rsid w:val="00603B25"/>
    <w:rsid w:val="00624A3C"/>
    <w:rsid w:val="00637AD2"/>
    <w:rsid w:val="00892FAC"/>
    <w:rsid w:val="00981A5F"/>
    <w:rsid w:val="009C2E21"/>
    <w:rsid w:val="00AB12A7"/>
    <w:rsid w:val="00AB6B34"/>
    <w:rsid w:val="00BB2BE8"/>
    <w:rsid w:val="00C00159"/>
    <w:rsid w:val="00C51AF2"/>
    <w:rsid w:val="00CF08BA"/>
    <w:rsid w:val="00D07572"/>
    <w:rsid w:val="00D82B7F"/>
    <w:rsid w:val="00EB1AEF"/>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BC44"/>
  <w15:chartTrackingRefBased/>
  <w15:docId w15:val="{A0004B46-DF8C-4612-9398-F001D87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FAC"/>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2F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FA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892FAC"/>
    <w:rPr>
      <w:sz w:val="16"/>
      <w:szCs w:val="16"/>
    </w:rPr>
  </w:style>
  <w:style w:type="paragraph" w:styleId="CommentText">
    <w:name w:val="annotation text"/>
    <w:basedOn w:val="Normal"/>
    <w:link w:val="CommentTextChar"/>
    <w:uiPriority w:val="99"/>
    <w:semiHidden/>
    <w:unhideWhenUsed/>
    <w:rsid w:val="00892FAC"/>
    <w:pPr>
      <w:spacing w:line="240" w:lineRule="auto"/>
    </w:pPr>
    <w:rPr>
      <w:sz w:val="20"/>
      <w:szCs w:val="20"/>
    </w:rPr>
  </w:style>
  <w:style w:type="character" w:customStyle="1" w:styleId="CommentTextChar">
    <w:name w:val="Comment Text Char"/>
    <w:basedOn w:val="DefaultParagraphFont"/>
    <w:link w:val="CommentText"/>
    <w:uiPriority w:val="99"/>
    <w:semiHidden/>
    <w:rsid w:val="00892FA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92FAC"/>
    <w:rPr>
      <w:b/>
      <w:bCs/>
    </w:rPr>
  </w:style>
  <w:style w:type="character" w:customStyle="1" w:styleId="CommentSubjectChar">
    <w:name w:val="Comment Subject Char"/>
    <w:basedOn w:val="CommentTextChar"/>
    <w:link w:val="CommentSubject"/>
    <w:uiPriority w:val="99"/>
    <w:semiHidden/>
    <w:rsid w:val="00892FAC"/>
    <w:rPr>
      <w:rFonts w:ascii="Calibri" w:eastAsia="Calibri" w:hAnsi="Calibri" w:cs="Calibri"/>
      <w:b/>
      <w:bCs/>
      <w:sz w:val="20"/>
      <w:szCs w:val="20"/>
    </w:rPr>
  </w:style>
  <w:style w:type="table" w:styleId="TableGrid">
    <w:name w:val="Table Grid"/>
    <w:basedOn w:val="TableNormal"/>
    <w:uiPriority w:val="39"/>
    <w:rsid w:val="004E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19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1B33F-CCF7-4A2F-90D4-7A9D6A8C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MacDowell, Martin</dc:creator>
  <cp:keywords/>
  <dc:description/>
  <cp:lastModifiedBy>Jarod Shelton</cp:lastModifiedBy>
  <cp:revision>2</cp:revision>
  <dcterms:created xsi:type="dcterms:W3CDTF">2020-09-04T11:56:00Z</dcterms:created>
  <dcterms:modified xsi:type="dcterms:W3CDTF">2020-09-04T11:56:00Z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ea734ffb-c84c-3c78-942a-8aac1d74ed77</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