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8A839" w14:textId="77777777" w:rsidR="000D2EC1" w:rsidRPr="00DC62D5" w:rsidRDefault="000D2EC1" w:rsidP="000D2EC1">
      <w:pPr>
        <w:rPr>
          <w:rFonts w:eastAsia="メイリオ" w:cs="メイリオ"/>
          <w:b/>
          <w:sz w:val="28"/>
          <w:szCs w:val="24"/>
        </w:rPr>
      </w:pPr>
      <w:r w:rsidRPr="00DC62D5">
        <w:rPr>
          <w:rFonts w:eastAsia="メイリオ" w:cs="メイリオ"/>
          <w:b/>
          <w:sz w:val="28"/>
          <w:szCs w:val="24"/>
        </w:rPr>
        <w:t>Rubric for grading the 4-week report</w:t>
      </w:r>
      <w:r w:rsidRPr="00DC62D5">
        <w:rPr>
          <w:rFonts w:eastAsia="メイリオ" w:cs="メイリオ"/>
          <w:b/>
          <w:sz w:val="28"/>
          <w:szCs w:val="36"/>
        </w:rPr>
        <w:t xml:space="preserve"> on social determinants of health</w:t>
      </w:r>
    </w:p>
    <w:tbl>
      <w:tblPr>
        <w:tblW w:w="15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6"/>
        <w:gridCol w:w="3342"/>
        <w:gridCol w:w="2976"/>
        <w:gridCol w:w="2268"/>
        <w:gridCol w:w="1701"/>
        <w:gridCol w:w="2068"/>
        <w:gridCol w:w="1108"/>
      </w:tblGrid>
      <w:tr w:rsidR="000D2EC1" w:rsidRPr="00DC62D5" w14:paraId="3B5F6A79" w14:textId="77777777" w:rsidTr="00B32A3D">
        <w:tc>
          <w:tcPr>
            <w:tcW w:w="2286" w:type="dxa"/>
            <w:tcBorders>
              <w:bottom w:val="single" w:sz="4" w:space="0" w:color="auto"/>
            </w:tcBorders>
          </w:tcPr>
          <w:p w14:paraId="64AA553E" w14:textId="77777777" w:rsidR="000D2EC1" w:rsidRPr="00DC62D5" w:rsidRDefault="000D2EC1" w:rsidP="000D2EC1">
            <w:pPr>
              <w:jc w:val="left"/>
              <w:rPr>
                <w:rFonts w:eastAsia="メイリオ" w:cs="メイリオ"/>
                <w:b/>
                <w:sz w:val="20"/>
                <w:szCs w:val="18"/>
              </w:rPr>
            </w:pPr>
            <w:r w:rsidRPr="00DC62D5">
              <w:rPr>
                <w:rFonts w:eastAsia="メイリオ" w:cs="メイリオ"/>
                <w:b/>
                <w:sz w:val="20"/>
                <w:szCs w:val="18"/>
              </w:rPr>
              <w:t>Theme</w:t>
            </w:r>
          </w:p>
        </w:tc>
        <w:tc>
          <w:tcPr>
            <w:tcW w:w="3342" w:type="dxa"/>
            <w:tcBorders>
              <w:bottom w:val="single" w:sz="4" w:space="0" w:color="auto"/>
            </w:tcBorders>
          </w:tcPr>
          <w:p w14:paraId="759510C0" w14:textId="77777777" w:rsidR="000D2EC1" w:rsidRPr="00DC62D5" w:rsidRDefault="000D2EC1" w:rsidP="000D2EC1">
            <w:pPr>
              <w:rPr>
                <w:rFonts w:eastAsia="メイリオ" w:cs="メイリオ"/>
                <w:b/>
                <w:sz w:val="20"/>
                <w:szCs w:val="18"/>
              </w:rPr>
            </w:pPr>
            <w:r w:rsidRPr="00DC62D5">
              <w:rPr>
                <w:rFonts w:eastAsia="メイリオ" w:cs="メイリオ"/>
                <w:b/>
                <w:sz w:val="20"/>
                <w:szCs w:val="18"/>
              </w:rPr>
              <w:t>Evaluation criteria</w:t>
            </w:r>
          </w:p>
        </w:tc>
        <w:tc>
          <w:tcPr>
            <w:tcW w:w="2976" w:type="dxa"/>
            <w:tcBorders>
              <w:bottom w:val="single" w:sz="4" w:space="0" w:color="auto"/>
            </w:tcBorders>
          </w:tcPr>
          <w:p w14:paraId="72B07ECC" w14:textId="77777777" w:rsidR="000D2EC1" w:rsidRPr="00DC62D5" w:rsidRDefault="000D2EC1" w:rsidP="000D2EC1">
            <w:pPr>
              <w:rPr>
                <w:rFonts w:eastAsia="メイリオ" w:cs="メイリオ"/>
                <w:b/>
                <w:sz w:val="20"/>
                <w:szCs w:val="18"/>
              </w:rPr>
            </w:pPr>
            <w:r w:rsidRPr="00DC62D5">
              <w:rPr>
                <w:rFonts w:eastAsia="メイリオ" w:cs="メイリオ"/>
                <w:b/>
                <w:sz w:val="20"/>
                <w:szCs w:val="18"/>
              </w:rPr>
              <w:t>Excellent</w:t>
            </w:r>
            <w:r w:rsidRPr="00DC62D5">
              <w:rPr>
                <w:rFonts w:eastAsia="メイリオ" w:cs="メイリオ"/>
                <w:b/>
                <w:sz w:val="20"/>
                <w:szCs w:val="18"/>
              </w:rPr>
              <w:t>（Ａ＋）</w:t>
            </w:r>
          </w:p>
        </w:tc>
        <w:tc>
          <w:tcPr>
            <w:tcW w:w="2268" w:type="dxa"/>
            <w:tcBorders>
              <w:bottom w:val="single" w:sz="4" w:space="0" w:color="auto"/>
            </w:tcBorders>
          </w:tcPr>
          <w:p w14:paraId="77FD4B6C" w14:textId="77777777" w:rsidR="000D2EC1" w:rsidRPr="00DC62D5" w:rsidRDefault="000D2EC1" w:rsidP="000D2EC1">
            <w:pPr>
              <w:rPr>
                <w:rFonts w:eastAsia="メイリオ" w:cs="メイリオ"/>
                <w:b/>
                <w:sz w:val="20"/>
                <w:szCs w:val="18"/>
              </w:rPr>
            </w:pPr>
            <w:r w:rsidRPr="00DC62D5">
              <w:rPr>
                <w:rFonts w:eastAsia="メイリオ" w:cs="メイリオ"/>
                <w:b/>
                <w:sz w:val="20"/>
                <w:szCs w:val="18"/>
              </w:rPr>
              <w:t>Good</w:t>
            </w:r>
            <w:r w:rsidRPr="00DC62D5">
              <w:rPr>
                <w:rFonts w:eastAsia="メイリオ" w:cs="メイリオ"/>
                <w:b/>
                <w:sz w:val="20"/>
                <w:szCs w:val="18"/>
              </w:rPr>
              <w:t>（Ａ）</w:t>
            </w:r>
          </w:p>
        </w:tc>
        <w:tc>
          <w:tcPr>
            <w:tcW w:w="1701" w:type="dxa"/>
            <w:tcBorders>
              <w:bottom w:val="single" w:sz="4" w:space="0" w:color="auto"/>
            </w:tcBorders>
          </w:tcPr>
          <w:p w14:paraId="4B435D0E" w14:textId="77777777" w:rsidR="000D2EC1" w:rsidRPr="00DC62D5" w:rsidRDefault="000D2EC1" w:rsidP="000D2EC1">
            <w:pPr>
              <w:rPr>
                <w:rFonts w:eastAsia="メイリオ" w:cs="メイリオ"/>
                <w:b/>
                <w:sz w:val="20"/>
                <w:szCs w:val="18"/>
              </w:rPr>
            </w:pPr>
            <w:r w:rsidRPr="00DC62D5">
              <w:rPr>
                <w:rFonts w:eastAsia="メイリオ" w:cs="メイリオ"/>
                <w:b/>
                <w:sz w:val="20"/>
                <w:szCs w:val="18"/>
              </w:rPr>
              <w:t>Fair</w:t>
            </w:r>
            <w:r w:rsidRPr="00DC62D5">
              <w:rPr>
                <w:rFonts w:eastAsia="メイリオ" w:cs="メイリオ"/>
                <w:b/>
                <w:sz w:val="20"/>
                <w:szCs w:val="18"/>
              </w:rPr>
              <w:t>（Ｂ）</w:t>
            </w:r>
          </w:p>
        </w:tc>
        <w:tc>
          <w:tcPr>
            <w:tcW w:w="2068" w:type="dxa"/>
            <w:tcBorders>
              <w:bottom w:val="single" w:sz="4" w:space="0" w:color="auto"/>
            </w:tcBorders>
          </w:tcPr>
          <w:p w14:paraId="7255AE6F" w14:textId="77777777" w:rsidR="000D2EC1" w:rsidRPr="00DC62D5" w:rsidRDefault="000D2EC1" w:rsidP="000D2EC1">
            <w:pPr>
              <w:rPr>
                <w:rFonts w:eastAsia="メイリオ" w:cs="メイリオ"/>
                <w:b/>
                <w:sz w:val="20"/>
                <w:szCs w:val="18"/>
              </w:rPr>
            </w:pPr>
            <w:r w:rsidRPr="00DC62D5">
              <w:rPr>
                <w:rFonts w:eastAsia="メイリオ" w:cs="メイリオ"/>
                <w:b/>
                <w:sz w:val="20"/>
                <w:szCs w:val="18"/>
              </w:rPr>
              <w:t xml:space="preserve">Needs </w:t>
            </w:r>
          </w:p>
          <w:p w14:paraId="5C11DC0C" w14:textId="77777777" w:rsidR="000D2EC1" w:rsidRPr="00DC62D5" w:rsidRDefault="000D2EC1" w:rsidP="000D2EC1">
            <w:pPr>
              <w:rPr>
                <w:rFonts w:eastAsia="メイリオ" w:cs="メイリオ"/>
                <w:b/>
                <w:sz w:val="20"/>
                <w:szCs w:val="18"/>
              </w:rPr>
            </w:pPr>
            <w:r w:rsidRPr="00DC62D5">
              <w:rPr>
                <w:rFonts w:eastAsia="メイリオ" w:cs="メイリオ"/>
                <w:b/>
                <w:sz w:val="20"/>
                <w:szCs w:val="18"/>
              </w:rPr>
              <w:t>improvement</w:t>
            </w:r>
            <w:r w:rsidRPr="00DC62D5">
              <w:rPr>
                <w:rFonts w:eastAsia="メイリオ" w:cs="メイリオ"/>
                <w:b/>
                <w:sz w:val="20"/>
                <w:szCs w:val="18"/>
              </w:rPr>
              <w:t>（Ｃ）</w:t>
            </w:r>
          </w:p>
        </w:tc>
        <w:tc>
          <w:tcPr>
            <w:tcW w:w="1108" w:type="dxa"/>
            <w:tcBorders>
              <w:bottom w:val="single" w:sz="4" w:space="0" w:color="auto"/>
            </w:tcBorders>
          </w:tcPr>
          <w:p w14:paraId="34339ECA" w14:textId="77777777" w:rsidR="000D2EC1" w:rsidRPr="00DC62D5" w:rsidRDefault="000D2EC1" w:rsidP="000D2EC1">
            <w:pPr>
              <w:rPr>
                <w:rFonts w:eastAsia="メイリオ" w:cs="メイリオ"/>
                <w:b/>
                <w:sz w:val="20"/>
                <w:szCs w:val="18"/>
              </w:rPr>
            </w:pPr>
            <w:r w:rsidRPr="00DC62D5">
              <w:rPr>
                <w:rFonts w:eastAsia="メイリオ" w:cs="メイリオ"/>
                <w:b/>
                <w:sz w:val="20"/>
                <w:szCs w:val="18"/>
              </w:rPr>
              <w:t>Fail</w:t>
            </w:r>
            <w:r w:rsidRPr="00DC62D5">
              <w:rPr>
                <w:rFonts w:eastAsia="メイリオ" w:cs="メイリオ"/>
                <w:b/>
                <w:sz w:val="20"/>
                <w:szCs w:val="18"/>
              </w:rPr>
              <w:t>（</w:t>
            </w:r>
            <w:r w:rsidRPr="00DC62D5">
              <w:rPr>
                <w:rFonts w:eastAsia="メイリオ" w:cs="メイリオ"/>
                <w:b/>
                <w:sz w:val="20"/>
                <w:szCs w:val="18"/>
              </w:rPr>
              <w:t>D)</w:t>
            </w:r>
          </w:p>
        </w:tc>
      </w:tr>
      <w:tr w:rsidR="000D2EC1" w:rsidRPr="00DC62D5" w14:paraId="5617F4B4" w14:textId="77777777" w:rsidTr="00B32A3D">
        <w:trPr>
          <w:trHeight w:val="1800"/>
        </w:trPr>
        <w:tc>
          <w:tcPr>
            <w:tcW w:w="2286" w:type="dxa"/>
            <w:shd w:val="clear" w:color="auto" w:fill="auto"/>
          </w:tcPr>
          <w:p w14:paraId="56847B8C" w14:textId="77777777" w:rsidR="000D2EC1" w:rsidRPr="00DC62D5" w:rsidRDefault="000D2EC1" w:rsidP="000D2EC1">
            <w:pPr>
              <w:jc w:val="left"/>
              <w:rPr>
                <w:rFonts w:eastAsia="メイリオ" w:cs="メイリオ"/>
                <w:b/>
                <w:sz w:val="20"/>
                <w:szCs w:val="18"/>
              </w:rPr>
            </w:pPr>
            <w:r w:rsidRPr="00DC62D5">
              <w:rPr>
                <w:rFonts w:eastAsia="メイリオ" w:cs="メイリオ"/>
                <w:b/>
                <w:sz w:val="20"/>
                <w:szCs w:val="18"/>
              </w:rPr>
              <w:t>Understanding</w:t>
            </w:r>
          </w:p>
          <w:p w14:paraId="338490A9" w14:textId="77777777" w:rsidR="000D2EC1" w:rsidRPr="00DC62D5" w:rsidRDefault="000D2EC1" w:rsidP="000D2EC1">
            <w:pPr>
              <w:jc w:val="left"/>
              <w:rPr>
                <w:rFonts w:eastAsia="メイリオ" w:cs="メイリオ"/>
                <w:b/>
                <w:sz w:val="20"/>
                <w:szCs w:val="18"/>
              </w:rPr>
            </w:pPr>
            <w:r w:rsidRPr="00DC62D5">
              <w:rPr>
                <w:rFonts w:eastAsia="メイリオ" w:cs="メイリオ"/>
                <w:b/>
                <w:sz w:val="20"/>
                <w:szCs w:val="18"/>
              </w:rPr>
              <w:t>social determinants</w:t>
            </w:r>
          </w:p>
          <w:p w14:paraId="7FAE8552" w14:textId="77777777" w:rsidR="000D2EC1" w:rsidRPr="00DC62D5" w:rsidRDefault="000D2EC1" w:rsidP="000D2EC1">
            <w:pPr>
              <w:jc w:val="left"/>
              <w:rPr>
                <w:rFonts w:eastAsia="メイリオ" w:cs="メイリオ"/>
                <w:b/>
                <w:sz w:val="20"/>
                <w:szCs w:val="18"/>
              </w:rPr>
            </w:pPr>
            <w:r w:rsidRPr="00DC62D5">
              <w:rPr>
                <w:rFonts w:eastAsia="メイリオ" w:cs="メイリオ"/>
                <w:b/>
                <w:sz w:val="20"/>
                <w:szCs w:val="18"/>
              </w:rPr>
              <w:t>of health</w:t>
            </w:r>
          </w:p>
        </w:tc>
        <w:tc>
          <w:tcPr>
            <w:tcW w:w="3342" w:type="dxa"/>
            <w:shd w:val="clear" w:color="auto" w:fill="auto"/>
          </w:tcPr>
          <w:p w14:paraId="653DAA80" w14:textId="77777777" w:rsidR="000D2EC1" w:rsidRPr="00DC62D5" w:rsidRDefault="000D2EC1" w:rsidP="000D2EC1">
            <w:pPr>
              <w:numPr>
                <w:ilvl w:val="0"/>
                <w:numId w:val="1"/>
              </w:numPr>
              <w:ind w:rightChars="89" w:right="187"/>
              <w:rPr>
                <w:rFonts w:eastAsia="メイリオ" w:cs="メイリオ"/>
                <w:sz w:val="18"/>
                <w:szCs w:val="21"/>
              </w:rPr>
            </w:pPr>
            <w:r w:rsidRPr="00DC62D5">
              <w:rPr>
                <w:rFonts w:eastAsia="メイリオ" w:cs="メイリオ"/>
                <w:sz w:val="18"/>
                <w:szCs w:val="21"/>
              </w:rPr>
              <w:t>Concretely describes cases related to the social determinants of health.</w:t>
            </w:r>
          </w:p>
          <w:p w14:paraId="09C2D954" w14:textId="77777777" w:rsidR="000D2EC1" w:rsidRPr="00DC62D5" w:rsidRDefault="000D2EC1" w:rsidP="000D2EC1">
            <w:pPr>
              <w:numPr>
                <w:ilvl w:val="0"/>
                <w:numId w:val="1"/>
              </w:numPr>
              <w:ind w:rightChars="89" w:right="187"/>
              <w:rPr>
                <w:rFonts w:eastAsia="メイリオ" w:cs="メイリオ"/>
                <w:sz w:val="18"/>
                <w:szCs w:val="21"/>
              </w:rPr>
            </w:pPr>
            <w:r w:rsidRPr="00DC62D5">
              <w:rPr>
                <w:rFonts w:eastAsia="メイリオ" w:cs="メイリオ"/>
                <w:sz w:val="18"/>
                <w:szCs w:val="21"/>
              </w:rPr>
              <w:t>Based on the above experience, describes the significance of being aware of the social determinants of health.</w:t>
            </w:r>
          </w:p>
          <w:p w14:paraId="1318236A" w14:textId="77777777" w:rsidR="000D2EC1" w:rsidRPr="00DC62D5" w:rsidRDefault="000D2EC1" w:rsidP="000D2EC1">
            <w:pPr>
              <w:numPr>
                <w:ilvl w:val="0"/>
                <w:numId w:val="1"/>
              </w:numPr>
              <w:ind w:rightChars="89" w:right="187"/>
              <w:rPr>
                <w:rFonts w:eastAsia="メイリオ" w:cs="メイリオ"/>
                <w:sz w:val="18"/>
                <w:szCs w:val="21"/>
              </w:rPr>
            </w:pPr>
            <w:r w:rsidRPr="00DC62D5">
              <w:rPr>
                <w:rFonts w:eastAsia="メイリオ" w:cs="メイリオ"/>
                <w:sz w:val="18"/>
                <w:szCs w:val="21"/>
              </w:rPr>
              <w:t xml:space="preserve">Describes in one’s own words the role that healthcare professionals (including non-physicians) should play in supporting the health of the community. </w:t>
            </w:r>
          </w:p>
        </w:tc>
        <w:tc>
          <w:tcPr>
            <w:tcW w:w="2976" w:type="dxa"/>
            <w:shd w:val="clear" w:color="auto" w:fill="auto"/>
          </w:tcPr>
          <w:p w14:paraId="20136051" w14:textId="77777777" w:rsidR="000D2EC1" w:rsidRPr="00DC62D5" w:rsidRDefault="000D2EC1" w:rsidP="000D2EC1">
            <w:pPr>
              <w:rPr>
                <w:rFonts w:eastAsia="メイリオ" w:cs="メイリオ"/>
                <w:sz w:val="18"/>
                <w:szCs w:val="16"/>
              </w:rPr>
            </w:pPr>
            <w:r w:rsidRPr="00DC62D5">
              <w:rPr>
                <w:rFonts w:eastAsia="メイリオ" w:cs="メイリオ"/>
                <w:sz w:val="18"/>
                <w:szCs w:val="16"/>
              </w:rPr>
              <w:t xml:space="preserve">Understands the characteristics of each region based on multiple experiences in community settings and understands upstream societal problems from multiple perspectives. Understands the role of healthcare professionals from multiple perspectives based on interprofessional collaboration and the current status of the system and medical resources. </w:t>
            </w:r>
          </w:p>
        </w:tc>
        <w:tc>
          <w:tcPr>
            <w:tcW w:w="2268" w:type="dxa"/>
            <w:shd w:val="clear" w:color="auto" w:fill="auto"/>
          </w:tcPr>
          <w:p w14:paraId="2262CFDB" w14:textId="77777777" w:rsidR="000D2EC1" w:rsidRPr="00DC62D5" w:rsidRDefault="000D2EC1" w:rsidP="000D2EC1">
            <w:pPr>
              <w:rPr>
                <w:rFonts w:eastAsia="メイリオ" w:cs="メイリオ"/>
                <w:sz w:val="18"/>
                <w:szCs w:val="16"/>
              </w:rPr>
            </w:pPr>
            <w:r w:rsidRPr="00DC62D5">
              <w:rPr>
                <w:rFonts w:eastAsia="メイリオ" w:cs="メイリオ"/>
                <w:sz w:val="18"/>
                <w:szCs w:val="16"/>
              </w:rPr>
              <w:t>Integrates multiple experiences in community settings and sufficiently understands the patient in relation to multiple social determinants of health. Learns the role of healthcare professionals in the community from experiences.</w:t>
            </w:r>
          </w:p>
        </w:tc>
        <w:tc>
          <w:tcPr>
            <w:tcW w:w="1701" w:type="dxa"/>
            <w:shd w:val="clear" w:color="auto" w:fill="auto"/>
          </w:tcPr>
          <w:p w14:paraId="43CCC286" w14:textId="77777777" w:rsidR="000D2EC1" w:rsidRPr="00DC62D5" w:rsidRDefault="000D2EC1" w:rsidP="000D2EC1">
            <w:pPr>
              <w:rPr>
                <w:rFonts w:eastAsia="メイリオ" w:cs="メイリオ"/>
                <w:sz w:val="18"/>
                <w:szCs w:val="16"/>
              </w:rPr>
            </w:pPr>
            <w:r w:rsidRPr="00DC62D5">
              <w:rPr>
                <w:rFonts w:eastAsia="メイリオ" w:cs="メイリオ"/>
                <w:sz w:val="18"/>
                <w:szCs w:val="16"/>
              </w:rPr>
              <w:t xml:space="preserve">Describes an experience in the community </w:t>
            </w:r>
            <w:proofErr w:type="gramStart"/>
            <w:r w:rsidRPr="00DC62D5">
              <w:rPr>
                <w:rFonts w:eastAsia="メイリオ" w:cs="メイリオ"/>
                <w:sz w:val="18"/>
                <w:szCs w:val="16"/>
              </w:rPr>
              <w:t>and  the</w:t>
            </w:r>
            <w:proofErr w:type="gramEnd"/>
            <w:r w:rsidRPr="00DC62D5">
              <w:rPr>
                <w:rFonts w:eastAsia="メイリオ" w:cs="メイリオ"/>
                <w:sz w:val="18"/>
                <w:szCs w:val="16"/>
              </w:rPr>
              <w:t xml:space="preserve"> characteristics of the community in relation to social determinants of health.</w:t>
            </w:r>
          </w:p>
          <w:p w14:paraId="214F70D7" w14:textId="77777777" w:rsidR="000D2EC1" w:rsidRPr="00DC62D5" w:rsidRDefault="000D2EC1" w:rsidP="000D2EC1">
            <w:pPr>
              <w:rPr>
                <w:rFonts w:eastAsia="メイリオ" w:cs="メイリオ"/>
                <w:sz w:val="18"/>
                <w:szCs w:val="16"/>
              </w:rPr>
            </w:pPr>
          </w:p>
        </w:tc>
        <w:tc>
          <w:tcPr>
            <w:tcW w:w="2068" w:type="dxa"/>
            <w:shd w:val="clear" w:color="auto" w:fill="auto"/>
          </w:tcPr>
          <w:p w14:paraId="7FA899A1" w14:textId="77777777" w:rsidR="000D2EC1" w:rsidRPr="00DC62D5" w:rsidRDefault="000D2EC1" w:rsidP="000D2EC1">
            <w:pPr>
              <w:rPr>
                <w:rFonts w:eastAsia="メイリオ" w:cs="メイリオ"/>
                <w:sz w:val="18"/>
                <w:szCs w:val="16"/>
              </w:rPr>
            </w:pPr>
            <w:r w:rsidRPr="00DC62D5">
              <w:rPr>
                <w:rFonts w:eastAsia="メイリオ" w:cs="メイリオ"/>
                <w:sz w:val="18"/>
                <w:szCs w:val="16"/>
              </w:rPr>
              <w:t xml:space="preserve">Insufficient description of an experience in the community, or poor understanding </w:t>
            </w:r>
            <w:proofErr w:type="gramStart"/>
            <w:r w:rsidRPr="00DC62D5">
              <w:rPr>
                <w:rFonts w:eastAsia="メイリオ" w:cs="メイリオ"/>
                <w:sz w:val="18"/>
                <w:szCs w:val="16"/>
              </w:rPr>
              <w:t>of  social</w:t>
            </w:r>
            <w:proofErr w:type="gramEnd"/>
            <w:r w:rsidRPr="00DC62D5">
              <w:rPr>
                <w:rFonts w:eastAsia="メイリオ" w:cs="メイリオ"/>
                <w:sz w:val="18"/>
                <w:szCs w:val="16"/>
              </w:rPr>
              <w:t xml:space="preserve"> determinants of health. </w:t>
            </w:r>
          </w:p>
        </w:tc>
        <w:tc>
          <w:tcPr>
            <w:tcW w:w="1108" w:type="dxa"/>
          </w:tcPr>
          <w:p w14:paraId="021AB82B" w14:textId="77777777" w:rsidR="000D2EC1" w:rsidRPr="00DC62D5" w:rsidRDefault="000D2EC1" w:rsidP="000D2EC1">
            <w:pPr>
              <w:rPr>
                <w:rFonts w:eastAsia="メイリオ" w:cs="メイリオ"/>
                <w:sz w:val="18"/>
                <w:szCs w:val="16"/>
              </w:rPr>
            </w:pPr>
            <w:r w:rsidRPr="00DC62D5">
              <w:rPr>
                <w:rFonts w:eastAsia="メイリオ" w:cs="メイリオ"/>
                <w:sz w:val="18"/>
                <w:szCs w:val="16"/>
              </w:rPr>
              <w:t>The requested content is not provided.</w:t>
            </w:r>
          </w:p>
        </w:tc>
      </w:tr>
    </w:tbl>
    <w:p w14:paraId="7013883D" w14:textId="77777777" w:rsidR="000D2EC1" w:rsidRPr="00781FE2" w:rsidRDefault="000D2EC1" w:rsidP="000D2EC1">
      <w:pPr>
        <w:rPr>
          <w:rFonts w:eastAsia="Meiryo UI" w:cs="メイリオ"/>
          <w:b/>
          <w:szCs w:val="24"/>
        </w:rPr>
      </w:pPr>
    </w:p>
    <w:p w14:paraId="0EE3A485" w14:textId="77777777" w:rsidR="00AB2034" w:rsidRPr="00781FE2" w:rsidRDefault="00AB2034"/>
    <w:sectPr w:rsidR="00AB2034" w:rsidRPr="00781FE2" w:rsidSect="000B4F63">
      <w:pgSz w:w="16838" w:h="11906" w:orient="landscape"/>
      <w:pgMar w:top="746" w:right="720" w:bottom="993"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5954F" w14:textId="77777777" w:rsidR="0064683B" w:rsidRDefault="0064683B" w:rsidP="000D2EC1">
      <w:r>
        <w:separator/>
      </w:r>
    </w:p>
  </w:endnote>
  <w:endnote w:type="continuationSeparator" w:id="0">
    <w:p w14:paraId="06F47330" w14:textId="77777777" w:rsidR="0064683B" w:rsidRDefault="0064683B" w:rsidP="000D2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69016" w14:textId="77777777" w:rsidR="0064683B" w:rsidRDefault="0064683B" w:rsidP="000D2EC1">
      <w:r>
        <w:separator/>
      </w:r>
    </w:p>
  </w:footnote>
  <w:footnote w:type="continuationSeparator" w:id="0">
    <w:p w14:paraId="618DE81F" w14:textId="77777777" w:rsidR="0064683B" w:rsidRDefault="0064683B" w:rsidP="000D2E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D775D"/>
    <w:multiLevelType w:val="hybridMultilevel"/>
    <w:tmpl w:val="F89860E0"/>
    <w:lvl w:ilvl="0" w:tplc="AB2673F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8"/>
    <w:rsid w:val="000D2EC1"/>
    <w:rsid w:val="002A5FDF"/>
    <w:rsid w:val="002A6B58"/>
    <w:rsid w:val="0064683B"/>
    <w:rsid w:val="00781FE2"/>
    <w:rsid w:val="00AB2034"/>
    <w:rsid w:val="00C17E6B"/>
    <w:rsid w:val="00DC62D5"/>
    <w:rsid w:val="00E210DD"/>
    <w:rsid w:val="00ED0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D9EE237E-1793-44FF-95E9-BE86B222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Arial"/>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2EC1"/>
    <w:pPr>
      <w:tabs>
        <w:tab w:val="center" w:pos="4252"/>
        <w:tab w:val="right" w:pos="8504"/>
      </w:tabs>
      <w:snapToGrid w:val="0"/>
    </w:pPr>
  </w:style>
  <w:style w:type="character" w:customStyle="1" w:styleId="a4">
    <w:name w:val="ヘッダー (文字)"/>
    <w:basedOn w:val="a0"/>
    <w:link w:val="a3"/>
    <w:uiPriority w:val="99"/>
    <w:rsid w:val="000D2EC1"/>
  </w:style>
  <w:style w:type="paragraph" w:styleId="a5">
    <w:name w:val="footer"/>
    <w:basedOn w:val="a"/>
    <w:link w:val="a6"/>
    <w:uiPriority w:val="99"/>
    <w:unhideWhenUsed/>
    <w:rsid w:val="000D2EC1"/>
    <w:pPr>
      <w:tabs>
        <w:tab w:val="center" w:pos="4252"/>
        <w:tab w:val="right" w:pos="8504"/>
      </w:tabs>
      <w:snapToGrid w:val="0"/>
    </w:pPr>
  </w:style>
  <w:style w:type="character" w:customStyle="1" w:styleId="a6">
    <w:name w:val="フッター (文字)"/>
    <w:basedOn w:val="a0"/>
    <w:link w:val="a5"/>
    <w:uiPriority w:val="99"/>
    <w:rsid w:val="000D2EC1"/>
  </w:style>
  <w:style w:type="paragraph" w:styleId="a7">
    <w:name w:val="Balloon Text"/>
    <w:basedOn w:val="a"/>
    <w:link w:val="a8"/>
    <w:uiPriority w:val="99"/>
    <w:semiHidden/>
    <w:unhideWhenUsed/>
    <w:rsid w:val="000D2E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D2E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1194</Characters>
  <Application>Microsoft Office Word</Application>
  <DocSecurity>0</DocSecurity>
  <Lines>9</Lines>
  <Paragraphs>2</Paragraphs>
  <ScaleCrop>false</ScaleCrop>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Sachiko Ozone 2</dc:creator>
  <cp:keywords/>
  <dc:description/>
  <cp:lastModifiedBy>Sachiko Ozone 2</cp:lastModifiedBy>
  <cp:revision>2</cp:revision>
  <dcterms:created xsi:type="dcterms:W3CDTF">2020-05-14T01:55:00Z</dcterms:created>
  <dcterms:modified xsi:type="dcterms:W3CDTF">2020-05-14T01:55:00Z</dcterms:modified>
</cp:coreProperties>
</file>