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4568" w:type="dxa"/>
        <w:tblCellMar>
          <w:left w:w="0" w:type="dxa"/>
          <w:right w:w="0" w:type="dxa"/>
        </w:tblCellMar>
        <w:tblLook w:val="0600" w:firstRow="0" w:lastRow="0" w:firstColumn="0" w:lastColumn="0" w:noHBand="1" w:noVBand="1"/>
      </w:tblPr>
      <w:tblGrid>
        <w:gridCol w:w="8080"/>
        <w:gridCol w:w="5528"/>
        <w:gridCol w:w="960"/>
      </w:tblGrid>
      <w:tr w:rsidR="00AB5969" w:rsidRPr="002A34AC" w14:paraId="61AC4A2E" w14:textId="77777777" w:rsidTr="00D20773">
        <w:trPr>
          <w:trHeight w:val="332"/>
        </w:trPr>
        <w:tc>
          <w:tcPr>
            <w:tcW w:w="8080" w:type="dxa"/>
            <w:tcBorders>
              <w:top w:val="nil"/>
              <w:left w:val="nil"/>
              <w:bottom w:val="nil"/>
              <w:right w:val="nil"/>
            </w:tcBorders>
            <w:shd w:val="clear" w:color="auto" w:fill="auto"/>
            <w:tcMar>
              <w:top w:w="5" w:type="dxa"/>
              <w:left w:w="5" w:type="dxa"/>
              <w:bottom w:w="0" w:type="dxa"/>
              <w:right w:w="5" w:type="dxa"/>
            </w:tcMar>
            <w:vAlign w:val="bottom"/>
            <w:hideMark/>
          </w:tcPr>
          <w:p w14:paraId="042F425E"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b/>
                <w:bCs/>
                <w:color w:val="000000"/>
                <w:kern w:val="24"/>
                <w:sz w:val="18"/>
                <w:szCs w:val="18"/>
                <w:lang w:eastAsia="en-AU"/>
              </w:rPr>
              <w:t>Elements</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2411BAEF"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b/>
                <w:bCs/>
                <w:color w:val="000000"/>
                <w:kern w:val="24"/>
                <w:sz w:val="18"/>
                <w:szCs w:val="18"/>
                <w:lang w:eastAsia="en-AU"/>
              </w:rPr>
              <w:t>Specific Performance Criteria (Where Applicable)</w:t>
            </w: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573D31CC"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b/>
                <w:bCs/>
                <w:color w:val="000000"/>
                <w:kern w:val="24"/>
                <w:sz w:val="18"/>
                <w:szCs w:val="18"/>
                <w:lang w:eastAsia="en-AU"/>
              </w:rPr>
              <w:t>Questions</w:t>
            </w:r>
            <w:r>
              <w:rPr>
                <w:rFonts w:ascii="Calibri" w:eastAsia="Times New Roman" w:hAnsi="Calibri" w:cs="Arial"/>
                <w:b/>
                <w:bCs/>
                <w:color w:val="000000"/>
                <w:kern w:val="24"/>
                <w:sz w:val="18"/>
                <w:szCs w:val="18"/>
                <w:lang w:eastAsia="en-AU"/>
              </w:rPr>
              <w:t xml:space="preserve"> †</w:t>
            </w:r>
          </w:p>
        </w:tc>
      </w:tr>
      <w:tr w:rsidR="00AB5969" w:rsidRPr="002A34AC" w14:paraId="7D3A111A" w14:textId="77777777" w:rsidTr="00D20773">
        <w:trPr>
          <w:trHeight w:val="120"/>
        </w:trPr>
        <w:tc>
          <w:tcPr>
            <w:tcW w:w="8080" w:type="dxa"/>
            <w:tcBorders>
              <w:top w:val="nil"/>
              <w:left w:val="nil"/>
              <w:bottom w:val="nil"/>
              <w:right w:val="nil"/>
            </w:tcBorders>
            <w:shd w:val="clear" w:color="auto" w:fill="E7E6E6"/>
            <w:tcMar>
              <w:top w:w="5" w:type="dxa"/>
              <w:left w:w="5" w:type="dxa"/>
              <w:bottom w:w="0" w:type="dxa"/>
              <w:right w:w="5" w:type="dxa"/>
            </w:tcMar>
            <w:vAlign w:val="bottom"/>
            <w:hideMark/>
          </w:tcPr>
          <w:p w14:paraId="29A6B635"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 xml:space="preserve">1.1 Maintains, </w:t>
            </w:r>
            <w:proofErr w:type="gramStart"/>
            <w:r w:rsidRPr="002A34AC">
              <w:rPr>
                <w:rFonts w:ascii="Calibri" w:eastAsia="Times New Roman" w:hAnsi="Calibri" w:cs="Arial"/>
                <w:color w:val="000000"/>
                <w:kern w:val="24"/>
                <w:sz w:val="18"/>
                <w:szCs w:val="18"/>
                <w:lang w:eastAsia="en-AU"/>
              </w:rPr>
              <w:t>develops</w:t>
            </w:r>
            <w:proofErr w:type="gramEnd"/>
            <w:r w:rsidRPr="002A34AC">
              <w:rPr>
                <w:rFonts w:ascii="Calibri" w:eastAsia="Times New Roman" w:hAnsi="Calibri" w:cs="Arial"/>
                <w:color w:val="000000"/>
                <w:kern w:val="24"/>
                <w:sz w:val="18"/>
                <w:szCs w:val="18"/>
                <w:lang w:eastAsia="en-AU"/>
              </w:rPr>
              <w:t xml:space="preserve"> and audits optometric knowledge, clinical expertise and skills.</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7BA8CD84"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1.1.1 Optometric knowledge, equipment and clinical skills are maintained and developed.</w:t>
            </w: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15E13EFC"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w:t>
            </w:r>
          </w:p>
        </w:tc>
      </w:tr>
      <w:tr w:rsidR="00AB5969" w:rsidRPr="002A34AC" w14:paraId="32279545" w14:textId="77777777" w:rsidTr="00D20773">
        <w:tc>
          <w:tcPr>
            <w:tcW w:w="8080" w:type="dxa"/>
            <w:tcBorders>
              <w:top w:val="nil"/>
              <w:left w:val="nil"/>
              <w:bottom w:val="nil"/>
              <w:right w:val="nil"/>
            </w:tcBorders>
            <w:shd w:val="clear" w:color="auto" w:fill="auto"/>
            <w:tcMar>
              <w:top w:w="5" w:type="dxa"/>
              <w:left w:w="5" w:type="dxa"/>
              <w:bottom w:w="0" w:type="dxa"/>
              <w:right w:w="5" w:type="dxa"/>
            </w:tcMar>
            <w:vAlign w:val="bottom"/>
            <w:hideMark/>
          </w:tcPr>
          <w:p w14:paraId="37AEFE31"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1.2 Adopts an evidence-based approach as the foundation for making clinical decisions.</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4F5A7F6F"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5DD792CC"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2</w:t>
            </w:r>
          </w:p>
        </w:tc>
      </w:tr>
      <w:tr w:rsidR="00AB5969" w:rsidRPr="002A34AC" w14:paraId="45800753" w14:textId="77777777" w:rsidTr="00D20773">
        <w:tc>
          <w:tcPr>
            <w:tcW w:w="8080" w:type="dxa"/>
            <w:tcBorders>
              <w:top w:val="nil"/>
              <w:left w:val="nil"/>
              <w:bottom w:val="nil"/>
              <w:right w:val="nil"/>
            </w:tcBorders>
            <w:shd w:val="clear" w:color="auto" w:fill="E7E6E6"/>
            <w:tcMar>
              <w:top w:w="5" w:type="dxa"/>
              <w:left w:w="5" w:type="dxa"/>
              <w:bottom w:w="0" w:type="dxa"/>
              <w:right w:w="5" w:type="dxa"/>
            </w:tcMar>
            <w:vAlign w:val="bottom"/>
            <w:hideMark/>
          </w:tcPr>
          <w:p w14:paraId="339646E4"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1.5 Communicates appropriate advice and information.</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272A75F7"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22FC561B"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3.5</w:t>
            </w:r>
          </w:p>
        </w:tc>
      </w:tr>
      <w:tr w:rsidR="00AB5969" w:rsidRPr="002A34AC" w14:paraId="7A8B31BD" w14:textId="77777777" w:rsidTr="00D20773">
        <w:tc>
          <w:tcPr>
            <w:tcW w:w="8080" w:type="dxa"/>
            <w:tcBorders>
              <w:top w:val="nil"/>
              <w:left w:val="nil"/>
              <w:bottom w:val="nil"/>
              <w:right w:val="nil"/>
            </w:tcBorders>
            <w:shd w:val="clear" w:color="auto" w:fill="auto"/>
            <w:tcMar>
              <w:top w:w="5" w:type="dxa"/>
              <w:left w:w="5" w:type="dxa"/>
              <w:bottom w:w="0" w:type="dxa"/>
              <w:right w:w="5" w:type="dxa"/>
            </w:tcMar>
            <w:hideMark/>
          </w:tcPr>
          <w:p w14:paraId="5BA5D9DC"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1.8 Understands the legal and other obligations involved in optometric practice.</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04A3BD8B"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1.8.1 Relevant legislation, common law obligations relevant to practice and Australian Standards are understood and implemented.</w:t>
            </w: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18AB3133"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1.5</w:t>
            </w:r>
          </w:p>
        </w:tc>
      </w:tr>
      <w:tr w:rsidR="00AB5969" w:rsidRPr="002A34AC" w14:paraId="473FF03E" w14:textId="77777777" w:rsidTr="00D20773">
        <w:tc>
          <w:tcPr>
            <w:tcW w:w="8080" w:type="dxa"/>
            <w:tcBorders>
              <w:top w:val="nil"/>
              <w:left w:val="nil"/>
              <w:bottom w:val="nil"/>
              <w:right w:val="nil"/>
            </w:tcBorders>
            <w:shd w:val="clear" w:color="auto" w:fill="E7E6E6"/>
            <w:tcMar>
              <w:top w:w="5" w:type="dxa"/>
              <w:left w:w="5" w:type="dxa"/>
              <w:bottom w:w="0" w:type="dxa"/>
              <w:right w:w="5" w:type="dxa"/>
            </w:tcMar>
            <w:hideMark/>
          </w:tcPr>
          <w:p w14:paraId="4900130D"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1.12 Understands factors affecting the community's need for eye-care services.</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22E7A913"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2C4DFF17"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2</w:t>
            </w:r>
          </w:p>
        </w:tc>
      </w:tr>
      <w:tr w:rsidR="00AB5969" w:rsidRPr="002A34AC" w14:paraId="10D25BA2" w14:textId="77777777" w:rsidTr="00D20773">
        <w:tc>
          <w:tcPr>
            <w:tcW w:w="8080" w:type="dxa"/>
            <w:tcBorders>
              <w:top w:val="nil"/>
              <w:left w:val="nil"/>
              <w:bottom w:val="nil"/>
              <w:right w:val="nil"/>
            </w:tcBorders>
            <w:shd w:val="clear" w:color="auto" w:fill="auto"/>
            <w:tcMar>
              <w:top w:w="5" w:type="dxa"/>
              <w:left w:w="5" w:type="dxa"/>
              <w:bottom w:w="0" w:type="dxa"/>
              <w:right w:w="5" w:type="dxa"/>
            </w:tcMar>
            <w:hideMark/>
          </w:tcPr>
          <w:p w14:paraId="7AF06106"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 xml:space="preserve">2.5 Obtains, </w:t>
            </w:r>
            <w:proofErr w:type="gramStart"/>
            <w:r w:rsidRPr="002A34AC">
              <w:rPr>
                <w:rFonts w:ascii="Calibri" w:eastAsia="Times New Roman" w:hAnsi="Calibri" w:cs="Arial"/>
                <w:color w:val="000000"/>
                <w:kern w:val="24"/>
                <w:sz w:val="18"/>
                <w:szCs w:val="18"/>
                <w:lang w:eastAsia="en-AU"/>
              </w:rPr>
              <w:t>interprets</w:t>
            </w:r>
            <w:proofErr w:type="gramEnd"/>
            <w:r w:rsidRPr="002A34AC">
              <w:rPr>
                <w:rFonts w:ascii="Calibri" w:eastAsia="Times New Roman" w:hAnsi="Calibri" w:cs="Arial"/>
                <w:color w:val="000000"/>
                <w:kern w:val="24"/>
                <w:sz w:val="18"/>
                <w:szCs w:val="18"/>
                <w:lang w:eastAsia="en-AU"/>
              </w:rPr>
              <w:t xml:space="preserve"> and takes account of patient information from sources other than the patient.</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72C70F99"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59AE5A7D"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3.5</w:t>
            </w:r>
          </w:p>
        </w:tc>
      </w:tr>
      <w:tr w:rsidR="00AB5969" w:rsidRPr="002A34AC" w14:paraId="0992EE30" w14:textId="77777777" w:rsidTr="00D20773">
        <w:tc>
          <w:tcPr>
            <w:tcW w:w="8080" w:type="dxa"/>
            <w:tcBorders>
              <w:top w:val="nil"/>
              <w:left w:val="nil"/>
              <w:bottom w:val="nil"/>
              <w:right w:val="nil"/>
            </w:tcBorders>
            <w:shd w:val="clear" w:color="auto" w:fill="E7E6E6"/>
            <w:tcMar>
              <w:top w:w="5" w:type="dxa"/>
              <w:left w:w="5" w:type="dxa"/>
              <w:bottom w:w="0" w:type="dxa"/>
              <w:right w:w="5" w:type="dxa"/>
            </w:tcMar>
            <w:vAlign w:val="center"/>
            <w:hideMark/>
          </w:tcPr>
          <w:p w14:paraId="711210BE"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3.1 Formulates an examination plan.</w:t>
            </w:r>
            <w:r w:rsidRPr="002A34AC">
              <w:rPr>
                <w:rFonts w:ascii="Calibri" w:eastAsia="Times New Roman" w:hAnsi="Calibri" w:cs="Arial"/>
                <w:color w:val="000000"/>
                <w:kern w:val="24"/>
                <w:sz w:val="18"/>
                <w:szCs w:val="18"/>
                <w:lang w:eastAsia="en-AU"/>
              </w:rPr>
              <w:br/>
              <w:t>3.2 Implements an examination plan.</w:t>
            </w:r>
          </w:p>
        </w:tc>
        <w:tc>
          <w:tcPr>
            <w:tcW w:w="5528" w:type="dxa"/>
            <w:tcBorders>
              <w:top w:val="nil"/>
              <w:left w:val="nil"/>
              <w:bottom w:val="nil"/>
              <w:right w:val="nil"/>
            </w:tcBorders>
            <w:shd w:val="clear" w:color="auto" w:fill="E7E6E6"/>
            <w:tcMar>
              <w:top w:w="5" w:type="dxa"/>
              <w:left w:w="5" w:type="dxa"/>
              <w:bottom w:w="0" w:type="dxa"/>
              <w:right w:w="5" w:type="dxa"/>
            </w:tcMar>
            <w:vAlign w:val="center"/>
            <w:hideMark/>
          </w:tcPr>
          <w:p w14:paraId="5D194062"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center"/>
            <w:hideMark/>
          </w:tcPr>
          <w:p w14:paraId="2CC7D714"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7</w:t>
            </w:r>
          </w:p>
        </w:tc>
      </w:tr>
      <w:tr w:rsidR="00AB5969" w:rsidRPr="002A34AC" w14:paraId="1EC1FFAB" w14:textId="77777777" w:rsidTr="00D20773">
        <w:tc>
          <w:tcPr>
            <w:tcW w:w="8080" w:type="dxa"/>
            <w:tcBorders>
              <w:top w:val="nil"/>
              <w:left w:val="nil"/>
              <w:bottom w:val="nil"/>
              <w:right w:val="nil"/>
            </w:tcBorders>
            <w:shd w:val="clear" w:color="auto" w:fill="auto"/>
            <w:tcMar>
              <w:top w:w="5" w:type="dxa"/>
              <w:left w:w="5" w:type="dxa"/>
              <w:bottom w:w="0" w:type="dxa"/>
              <w:right w:w="5" w:type="dxa"/>
            </w:tcMar>
            <w:hideMark/>
          </w:tcPr>
          <w:p w14:paraId="64C86BB2"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 xml:space="preserve">3.3 Assesses the ocular </w:t>
            </w:r>
            <w:proofErr w:type="spellStart"/>
            <w:r w:rsidRPr="002A34AC">
              <w:rPr>
                <w:rFonts w:ascii="Calibri" w:eastAsia="Times New Roman" w:hAnsi="Calibri" w:cs="Arial"/>
                <w:color w:val="000000"/>
                <w:kern w:val="24"/>
                <w:sz w:val="18"/>
                <w:szCs w:val="18"/>
                <w:lang w:eastAsia="en-AU"/>
              </w:rPr>
              <w:t>adnexae</w:t>
            </w:r>
            <w:proofErr w:type="spellEnd"/>
            <w:r w:rsidRPr="002A34AC">
              <w:rPr>
                <w:rFonts w:ascii="Calibri" w:eastAsia="Times New Roman" w:hAnsi="Calibri" w:cs="Arial"/>
                <w:color w:val="000000"/>
                <w:kern w:val="24"/>
                <w:sz w:val="18"/>
                <w:szCs w:val="18"/>
                <w:lang w:eastAsia="en-AU"/>
              </w:rPr>
              <w:t xml:space="preserve"> and the eye.</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77D877B5"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4675581C"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18</w:t>
            </w:r>
          </w:p>
        </w:tc>
      </w:tr>
      <w:tr w:rsidR="00AB5969" w:rsidRPr="002A34AC" w14:paraId="15C5FEC0" w14:textId="77777777" w:rsidTr="00D20773">
        <w:tc>
          <w:tcPr>
            <w:tcW w:w="8080" w:type="dxa"/>
            <w:tcBorders>
              <w:top w:val="nil"/>
              <w:left w:val="nil"/>
              <w:bottom w:val="nil"/>
              <w:right w:val="nil"/>
            </w:tcBorders>
            <w:shd w:val="clear" w:color="auto" w:fill="E7E6E6"/>
            <w:tcMar>
              <w:top w:w="5" w:type="dxa"/>
              <w:left w:w="5" w:type="dxa"/>
              <w:bottom w:w="0" w:type="dxa"/>
              <w:right w:w="5" w:type="dxa"/>
            </w:tcMar>
            <w:hideMark/>
          </w:tcPr>
          <w:p w14:paraId="137A0044"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3.7 Assesses visual information processing.</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4A68EC92"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36487BE6"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2</w:t>
            </w:r>
          </w:p>
        </w:tc>
      </w:tr>
      <w:tr w:rsidR="00AB5969" w:rsidRPr="002A34AC" w14:paraId="3670C20A" w14:textId="77777777" w:rsidTr="00D20773">
        <w:tc>
          <w:tcPr>
            <w:tcW w:w="8080" w:type="dxa"/>
            <w:tcBorders>
              <w:top w:val="nil"/>
              <w:left w:val="nil"/>
              <w:bottom w:val="nil"/>
              <w:right w:val="nil"/>
            </w:tcBorders>
            <w:shd w:val="clear" w:color="auto" w:fill="auto"/>
            <w:tcMar>
              <w:top w:w="5" w:type="dxa"/>
              <w:left w:w="5" w:type="dxa"/>
              <w:bottom w:w="0" w:type="dxa"/>
              <w:right w:w="5" w:type="dxa"/>
            </w:tcMar>
            <w:hideMark/>
          </w:tcPr>
          <w:p w14:paraId="67CAB735"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3.8 Assesses signs and symptoms found during the ocular examination that have significance for the patient's systemic health.</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66E35394"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3A0A411D"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w:t>
            </w:r>
          </w:p>
        </w:tc>
      </w:tr>
      <w:tr w:rsidR="00AB5969" w:rsidRPr="002A34AC" w14:paraId="76077C63" w14:textId="77777777" w:rsidTr="00D20773">
        <w:tc>
          <w:tcPr>
            <w:tcW w:w="8080" w:type="dxa"/>
            <w:tcBorders>
              <w:top w:val="nil"/>
              <w:left w:val="nil"/>
              <w:bottom w:val="nil"/>
              <w:right w:val="nil"/>
            </w:tcBorders>
            <w:shd w:val="clear" w:color="auto" w:fill="E7E6E6"/>
            <w:tcMar>
              <w:top w:w="5" w:type="dxa"/>
              <w:left w:w="5" w:type="dxa"/>
              <w:bottom w:w="0" w:type="dxa"/>
              <w:right w:w="5" w:type="dxa"/>
            </w:tcMar>
            <w:hideMark/>
          </w:tcPr>
          <w:p w14:paraId="1ED0BE92"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4.2 Evaluates the expected prognosis of the condition.</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492B9EB6"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29748462"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2</w:t>
            </w:r>
          </w:p>
        </w:tc>
      </w:tr>
      <w:tr w:rsidR="00AB5969" w:rsidRPr="002A34AC" w14:paraId="21BE67CA" w14:textId="77777777" w:rsidTr="00D20773">
        <w:tc>
          <w:tcPr>
            <w:tcW w:w="8080" w:type="dxa"/>
            <w:tcBorders>
              <w:top w:val="nil"/>
              <w:left w:val="nil"/>
              <w:bottom w:val="nil"/>
              <w:right w:val="nil"/>
            </w:tcBorders>
            <w:shd w:val="clear" w:color="auto" w:fill="auto"/>
            <w:tcMar>
              <w:top w:w="5" w:type="dxa"/>
              <w:left w:w="5" w:type="dxa"/>
              <w:bottom w:w="0" w:type="dxa"/>
              <w:right w:w="5" w:type="dxa"/>
            </w:tcMar>
            <w:hideMark/>
          </w:tcPr>
          <w:p w14:paraId="183BEB89"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4.5 Prescribes spectacles.</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4DC7AD20"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004993F9"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13</w:t>
            </w:r>
          </w:p>
        </w:tc>
      </w:tr>
      <w:tr w:rsidR="00AB5969" w:rsidRPr="002A34AC" w14:paraId="259BDA55" w14:textId="77777777" w:rsidTr="00D20773">
        <w:tc>
          <w:tcPr>
            <w:tcW w:w="8080" w:type="dxa"/>
            <w:tcBorders>
              <w:top w:val="nil"/>
              <w:left w:val="nil"/>
              <w:bottom w:val="nil"/>
              <w:right w:val="nil"/>
            </w:tcBorders>
            <w:shd w:val="clear" w:color="auto" w:fill="E7E6E6"/>
            <w:tcMar>
              <w:top w:w="5" w:type="dxa"/>
              <w:left w:w="5" w:type="dxa"/>
              <w:bottom w:w="0" w:type="dxa"/>
              <w:right w:w="5" w:type="dxa"/>
            </w:tcMar>
            <w:hideMark/>
          </w:tcPr>
          <w:p w14:paraId="20A069EE"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val="fr-FR" w:eastAsia="en-AU"/>
              </w:rPr>
              <w:t xml:space="preserve">4.6 </w:t>
            </w:r>
            <w:r w:rsidRPr="002A34AC">
              <w:rPr>
                <w:rFonts w:ascii="Calibri" w:eastAsia="Times New Roman" w:hAnsi="Calibri" w:cs="Arial"/>
                <w:color w:val="000000"/>
                <w:kern w:val="24"/>
                <w:sz w:val="18"/>
                <w:szCs w:val="18"/>
                <w:lang w:eastAsia="en-AU"/>
              </w:rPr>
              <w:t>Dispenses</w:t>
            </w:r>
            <w:r w:rsidRPr="002A34AC">
              <w:rPr>
                <w:rFonts w:ascii="Calibri" w:eastAsia="Times New Roman" w:hAnsi="Calibri" w:cs="Arial"/>
                <w:color w:val="000000"/>
                <w:kern w:val="24"/>
                <w:sz w:val="18"/>
                <w:szCs w:val="18"/>
                <w:lang w:val="fr-FR" w:eastAsia="en-AU"/>
              </w:rPr>
              <w:t xml:space="preserve"> </w:t>
            </w:r>
            <w:r w:rsidRPr="002A34AC">
              <w:rPr>
                <w:rFonts w:ascii="Calibri" w:eastAsia="Times New Roman" w:hAnsi="Calibri" w:cs="Arial"/>
                <w:color w:val="000000"/>
                <w:kern w:val="24"/>
                <w:sz w:val="18"/>
                <w:szCs w:val="18"/>
                <w:lang w:eastAsia="en-AU"/>
              </w:rPr>
              <w:t>spectacle</w:t>
            </w:r>
            <w:r w:rsidRPr="002A34AC">
              <w:rPr>
                <w:rFonts w:ascii="Calibri" w:eastAsia="Times New Roman" w:hAnsi="Calibri" w:cs="Arial"/>
                <w:color w:val="000000"/>
                <w:kern w:val="24"/>
                <w:sz w:val="18"/>
                <w:szCs w:val="18"/>
                <w:lang w:val="fr-FR" w:eastAsia="en-AU"/>
              </w:rPr>
              <w:t xml:space="preserve"> </w:t>
            </w:r>
            <w:r w:rsidRPr="002A34AC">
              <w:rPr>
                <w:rFonts w:ascii="Calibri" w:eastAsia="Times New Roman" w:hAnsi="Calibri" w:cs="Arial"/>
                <w:color w:val="000000"/>
                <w:kern w:val="24"/>
                <w:sz w:val="18"/>
                <w:szCs w:val="18"/>
                <w:lang w:eastAsia="en-AU"/>
              </w:rPr>
              <w:t>prescriptions accurately.</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450CA481"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110FC8ED"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6</w:t>
            </w:r>
          </w:p>
        </w:tc>
      </w:tr>
      <w:tr w:rsidR="00AB5969" w:rsidRPr="002A34AC" w14:paraId="3F6F1708" w14:textId="77777777" w:rsidTr="00D20773">
        <w:tc>
          <w:tcPr>
            <w:tcW w:w="8080" w:type="dxa"/>
            <w:tcBorders>
              <w:top w:val="nil"/>
              <w:left w:val="nil"/>
              <w:bottom w:val="nil"/>
              <w:right w:val="nil"/>
            </w:tcBorders>
            <w:shd w:val="clear" w:color="auto" w:fill="auto"/>
            <w:tcMar>
              <w:top w:w="5" w:type="dxa"/>
              <w:left w:w="5" w:type="dxa"/>
              <w:bottom w:w="0" w:type="dxa"/>
              <w:right w:w="5" w:type="dxa"/>
            </w:tcMar>
            <w:hideMark/>
          </w:tcPr>
          <w:p w14:paraId="6713A520"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4.7 Prescribes contact lenses.</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77B2A9F1"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1C2E8348"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16</w:t>
            </w:r>
          </w:p>
        </w:tc>
      </w:tr>
      <w:tr w:rsidR="00AB5969" w:rsidRPr="002A34AC" w14:paraId="04AC40C4" w14:textId="77777777" w:rsidTr="00D20773">
        <w:tc>
          <w:tcPr>
            <w:tcW w:w="8080" w:type="dxa"/>
            <w:tcBorders>
              <w:top w:val="nil"/>
              <w:left w:val="nil"/>
              <w:bottom w:val="nil"/>
              <w:right w:val="nil"/>
            </w:tcBorders>
            <w:shd w:val="clear" w:color="auto" w:fill="E7E6E6"/>
            <w:tcMar>
              <w:top w:w="5" w:type="dxa"/>
              <w:left w:w="5" w:type="dxa"/>
              <w:bottom w:w="0" w:type="dxa"/>
              <w:right w:w="5" w:type="dxa"/>
            </w:tcMar>
            <w:hideMark/>
          </w:tcPr>
          <w:p w14:paraId="23D35863"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4.8 Prescribes low vision devices.</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7DF29691"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5E873940"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6</w:t>
            </w:r>
          </w:p>
        </w:tc>
      </w:tr>
      <w:tr w:rsidR="00AB5969" w:rsidRPr="002A34AC" w14:paraId="623E27D6" w14:textId="77777777" w:rsidTr="00D20773">
        <w:trPr>
          <w:trHeight w:val="242"/>
        </w:trPr>
        <w:tc>
          <w:tcPr>
            <w:tcW w:w="8080" w:type="dxa"/>
            <w:tcBorders>
              <w:top w:val="nil"/>
              <w:left w:val="nil"/>
              <w:bottom w:val="nil"/>
              <w:right w:val="nil"/>
            </w:tcBorders>
            <w:shd w:val="clear" w:color="auto" w:fill="auto"/>
            <w:tcMar>
              <w:top w:w="5" w:type="dxa"/>
              <w:left w:w="5" w:type="dxa"/>
              <w:bottom w:w="0" w:type="dxa"/>
              <w:right w:w="5" w:type="dxa"/>
            </w:tcMar>
            <w:hideMark/>
          </w:tcPr>
          <w:p w14:paraId="5F3D63FC"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4.9 Prescribes pharmacological and other regimes to t</w:t>
            </w:r>
            <w:r>
              <w:rPr>
                <w:rFonts w:ascii="Calibri" w:eastAsia="Times New Roman" w:hAnsi="Calibri" w:cs="Arial"/>
                <w:color w:val="000000"/>
                <w:kern w:val="24"/>
                <w:sz w:val="18"/>
                <w:szCs w:val="18"/>
                <w:lang w:eastAsia="en-AU"/>
              </w:rPr>
              <w:t xml:space="preserve">reat ocular disease and injury. </w:t>
            </w:r>
            <w:r w:rsidRPr="00B811E4">
              <w:rPr>
                <w:rFonts w:ascii="Calibri" w:eastAsia="Times New Roman" w:hAnsi="Calibri" w:cs="Arial"/>
                <w:b/>
                <w:color w:val="000000"/>
                <w:kern w:val="24"/>
                <w:sz w:val="18"/>
                <w:szCs w:val="18"/>
                <w:lang w:eastAsia="en-AU"/>
              </w:rPr>
              <w:t>‡</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5131B102"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4.9.5 Patients are instructed about precautionary procedures and non-pharmacological and palliative management.</w:t>
            </w:r>
            <w:r w:rsidRPr="002A34AC">
              <w:rPr>
                <w:rFonts w:ascii="Calibri" w:eastAsia="Times New Roman" w:hAnsi="Calibri" w:cs="Arial"/>
                <w:color w:val="000000"/>
                <w:kern w:val="24"/>
                <w:sz w:val="18"/>
                <w:szCs w:val="18"/>
                <w:lang w:eastAsia="en-AU"/>
              </w:rPr>
              <w:br/>
              <w:t>4.9.6 Patients are instructed in the avoidance of cross-infection.</w:t>
            </w:r>
            <w:r w:rsidRPr="002A34AC">
              <w:rPr>
                <w:rFonts w:ascii="Calibri" w:eastAsia="Times New Roman" w:hAnsi="Calibri" w:cs="Arial"/>
                <w:color w:val="000000"/>
                <w:kern w:val="24"/>
                <w:sz w:val="18"/>
                <w:szCs w:val="18"/>
                <w:lang w:eastAsia="en-AU"/>
              </w:rPr>
              <w:br/>
              <w:t>4.9.7 Non-pharmacological treatment or intervention procedures, therapeutic device fitting and emergency ocular first aid are performed to manage eye conditions and injuries.</w:t>
            </w: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7A607A3B"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12</w:t>
            </w:r>
          </w:p>
        </w:tc>
      </w:tr>
      <w:tr w:rsidR="00AB5969" w:rsidRPr="002A34AC" w14:paraId="09ED011F" w14:textId="77777777" w:rsidTr="00D20773">
        <w:tc>
          <w:tcPr>
            <w:tcW w:w="8080" w:type="dxa"/>
            <w:tcBorders>
              <w:top w:val="nil"/>
              <w:left w:val="nil"/>
              <w:bottom w:val="nil"/>
              <w:right w:val="nil"/>
            </w:tcBorders>
            <w:shd w:val="clear" w:color="auto" w:fill="E7E6E6"/>
            <w:tcMar>
              <w:top w:w="5" w:type="dxa"/>
              <w:left w:w="5" w:type="dxa"/>
              <w:bottom w:w="0" w:type="dxa"/>
              <w:right w:w="5" w:type="dxa"/>
            </w:tcMar>
            <w:hideMark/>
          </w:tcPr>
          <w:p w14:paraId="058B2712"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4.10 Manages patients requiring vision therapy.</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46668759"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666348CE"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3</w:t>
            </w:r>
          </w:p>
        </w:tc>
      </w:tr>
      <w:tr w:rsidR="00AB5969" w:rsidRPr="002A34AC" w14:paraId="63499DB6" w14:textId="77777777" w:rsidTr="00D20773">
        <w:tc>
          <w:tcPr>
            <w:tcW w:w="8080" w:type="dxa"/>
            <w:tcBorders>
              <w:top w:val="nil"/>
              <w:left w:val="nil"/>
              <w:bottom w:val="nil"/>
              <w:right w:val="nil"/>
            </w:tcBorders>
            <w:shd w:val="clear" w:color="auto" w:fill="auto"/>
            <w:tcMar>
              <w:top w:w="5" w:type="dxa"/>
              <w:left w:w="5" w:type="dxa"/>
              <w:bottom w:w="0" w:type="dxa"/>
              <w:right w:w="5" w:type="dxa"/>
            </w:tcMar>
            <w:hideMark/>
          </w:tcPr>
          <w:p w14:paraId="6450C685"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4.11 Refers patients and receives patient referrals.</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09DCC85E"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 xml:space="preserve">4.11.1 The need for referral to other professionals or rehabilitative services for assessment and/or treatment is </w:t>
            </w:r>
            <w:proofErr w:type="spellStart"/>
            <w:r w:rsidRPr="002A34AC">
              <w:rPr>
                <w:rFonts w:ascii="Calibri" w:eastAsia="Times New Roman" w:hAnsi="Calibri" w:cs="Arial"/>
                <w:color w:val="000000"/>
                <w:kern w:val="24"/>
                <w:sz w:val="18"/>
                <w:szCs w:val="18"/>
                <w:lang w:eastAsia="en-AU"/>
              </w:rPr>
              <w:t>recognised</w:t>
            </w:r>
            <w:proofErr w:type="spellEnd"/>
            <w:r w:rsidRPr="002A34AC">
              <w:rPr>
                <w:rFonts w:ascii="Calibri" w:eastAsia="Times New Roman" w:hAnsi="Calibri" w:cs="Arial"/>
                <w:color w:val="000000"/>
                <w:kern w:val="24"/>
                <w:sz w:val="18"/>
                <w:szCs w:val="18"/>
                <w:lang w:eastAsia="en-AU"/>
              </w:rPr>
              <w:t>, discussed with the patient and a suitable professional or service is recommended.</w:t>
            </w: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75FF6EC6"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w:t>
            </w:r>
          </w:p>
        </w:tc>
      </w:tr>
      <w:tr w:rsidR="00AB5969" w:rsidRPr="002A34AC" w14:paraId="4DDBB7AF" w14:textId="77777777" w:rsidTr="00D20773">
        <w:tc>
          <w:tcPr>
            <w:tcW w:w="8080" w:type="dxa"/>
            <w:tcBorders>
              <w:top w:val="nil"/>
              <w:left w:val="nil"/>
              <w:bottom w:val="nil"/>
              <w:right w:val="nil"/>
            </w:tcBorders>
            <w:shd w:val="clear" w:color="auto" w:fill="E7E6E6"/>
            <w:tcMar>
              <w:top w:w="5" w:type="dxa"/>
              <w:left w:w="5" w:type="dxa"/>
              <w:bottom w:w="0" w:type="dxa"/>
              <w:right w:w="5" w:type="dxa"/>
            </w:tcMar>
            <w:hideMark/>
          </w:tcPr>
          <w:p w14:paraId="1A342BA8"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4.13 Co-operates with ophthalmologist/s in the provision of pre- and post-operative management of patients.</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5E7B8C05"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44B77A4D"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8</w:t>
            </w:r>
          </w:p>
        </w:tc>
      </w:tr>
      <w:tr w:rsidR="00AB5969" w:rsidRPr="002A34AC" w14:paraId="5E8F813C" w14:textId="77777777" w:rsidTr="00D20773">
        <w:tc>
          <w:tcPr>
            <w:tcW w:w="8080" w:type="dxa"/>
            <w:tcBorders>
              <w:top w:val="nil"/>
              <w:left w:val="nil"/>
              <w:bottom w:val="nil"/>
              <w:right w:val="nil"/>
            </w:tcBorders>
            <w:shd w:val="clear" w:color="auto" w:fill="auto"/>
            <w:tcMar>
              <w:top w:w="5" w:type="dxa"/>
              <w:left w:w="5" w:type="dxa"/>
              <w:bottom w:w="0" w:type="dxa"/>
              <w:right w:w="5" w:type="dxa"/>
            </w:tcMar>
            <w:hideMark/>
          </w:tcPr>
          <w:p w14:paraId="01229B01"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4.14 Provides advice on vision, eye health and safety in the workplace and recreational settings.</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27A13474"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6E661DBB"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3</w:t>
            </w:r>
          </w:p>
        </w:tc>
      </w:tr>
      <w:tr w:rsidR="00AB5969" w:rsidRPr="002A34AC" w14:paraId="4819586D" w14:textId="77777777" w:rsidTr="00D20773">
        <w:tc>
          <w:tcPr>
            <w:tcW w:w="8080" w:type="dxa"/>
            <w:tcBorders>
              <w:top w:val="nil"/>
              <w:left w:val="nil"/>
              <w:bottom w:val="nil"/>
              <w:right w:val="nil"/>
            </w:tcBorders>
            <w:shd w:val="clear" w:color="auto" w:fill="E7E6E6"/>
            <w:tcMar>
              <w:top w:w="5" w:type="dxa"/>
              <w:left w:w="5" w:type="dxa"/>
              <w:bottom w:w="0" w:type="dxa"/>
              <w:right w:w="5" w:type="dxa"/>
            </w:tcMar>
            <w:hideMark/>
          </w:tcPr>
          <w:p w14:paraId="425DCB6A"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5.2 Maintains confidentiality of patient records.</w:t>
            </w:r>
          </w:p>
        </w:tc>
        <w:tc>
          <w:tcPr>
            <w:tcW w:w="5528" w:type="dxa"/>
            <w:tcBorders>
              <w:top w:val="nil"/>
              <w:left w:val="nil"/>
              <w:bottom w:val="nil"/>
              <w:right w:val="nil"/>
            </w:tcBorders>
            <w:shd w:val="clear" w:color="auto" w:fill="E7E6E6"/>
            <w:tcMar>
              <w:top w:w="5" w:type="dxa"/>
              <w:left w:w="5" w:type="dxa"/>
              <w:bottom w:w="0" w:type="dxa"/>
              <w:right w:w="5" w:type="dxa"/>
            </w:tcMar>
            <w:vAlign w:val="bottom"/>
            <w:hideMark/>
          </w:tcPr>
          <w:p w14:paraId="23517B93"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E7E6E6"/>
            <w:tcMar>
              <w:top w:w="5" w:type="dxa"/>
              <w:left w:w="5" w:type="dxa"/>
              <w:bottom w:w="0" w:type="dxa"/>
              <w:right w:w="5" w:type="dxa"/>
            </w:tcMar>
            <w:vAlign w:val="bottom"/>
            <w:hideMark/>
          </w:tcPr>
          <w:p w14:paraId="07FE769F"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w:t>
            </w:r>
          </w:p>
        </w:tc>
      </w:tr>
      <w:tr w:rsidR="00AB5969" w:rsidRPr="002A34AC" w14:paraId="457BA466" w14:textId="77777777" w:rsidTr="00D20773">
        <w:trPr>
          <w:trHeight w:val="237"/>
        </w:trPr>
        <w:tc>
          <w:tcPr>
            <w:tcW w:w="8080" w:type="dxa"/>
            <w:tcBorders>
              <w:top w:val="nil"/>
              <w:left w:val="nil"/>
              <w:bottom w:val="nil"/>
              <w:right w:val="nil"/>
            </w:tcBorders>
            <w:shd w:val="clear" w:color="auto" w:fill="auto"/>
            <w:tcMar>
              <w:top w:w="5" w:type="dxa"/>
              <w:left w:w="5" w:type="dxa"/>
              <w:bottom w:w="0" w:type="dxa"/>
              <w:right w:w="5" w:type="dxa"/>
            </w:tcMar>
            <w:hideMark/>
          </w:tcPr>
          <w:p w14:paraId="0F621CF3"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5.3 Meets legislative requirements regarding retention and destruction of patient records and other practice documentation.</w:t>
            </w: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41FD5777"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2F114B1F"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color w:val="000000"/>
                <w:kern w:val="24"/>
                <w:sz w:val="18"/>
                <w:szCs w:val="18"/>
                <w:lang w:eastAsia="en-AU"/>
              </w:rPr>
              <w:t>1.5</w:t>
            </w:r>
          </w:p>
        </w:tc>
      </w:tr>
      <w:tr w:rsidR="00AB5969" w:rsidRPr="002A34AC" w14:paraId="0296685D" w14:textId="77777777" w:rsidTr="00D20773">
        <w:tc>
          <w:tcPr>
            <w:tcW w:w="8080" w:type="dxa"/>
            <w:tcBorders>
              <w:top w:val="nil"/>
              <w:left w:val="nil"/>
              <w:bottom w:val="nil"/>
              <w:right w:val="nil"/>
            </w:tcBorders>
            <w:shd w:val="clear" w:color="auto" w:fill="auto"/>
            <w:tcMar>
              <w:top w:w="5" w:type="dxa"/>
              <w:left w:w="5" w:type="dxa"/>
              <w:bottom w:w="0" w:type="dxa"/>
              <w:right w:w="5" w:type="dxa"/>
            </w:tcMar>
            <w:hideMark/>
          </w:tcPr>
          <w:p w14:paraId="335EC97A" w14:textId="77777777" w:rsidR="00AB5969" w:rsidRPr="002A34AC" w:rsidRDefault="00AB5969" w:rsidP="00D20773">
            <w:pPr>
              <w:spacing w:after="0" w:line="240" w:lineRule="auto"/>
              <w:rPr>
                <w:rFonts w:ascii="Arial" w:eastAsia="Times New Roman" w:hAnsi="Arial" w:cs="Arial"/>
                <w:sz w:val="18"/>
                <w:szCs w:val="18"/>
                <w:lang w:eastAsia="en-AU"/>
              </w:rPr>
            </w:pPr>
          </w:p>
        </w:tc>
        <w:tc>
          <w:tcPr>
            <w:tcW w:w="5528" w:type="dxa"/>
            <w:tcBorders>
              <w:top w:val="nil"/>
              <w:left w:val="nil"/>
              <w:bottom w:val="nil"/>
              <w:right w:val="nil"/>
            </w:tcBorders>
            <w:shd w:val="clear" w:color="auto" w:fill="auto"/>
            <w:tcMar>
              <w:top w:w="5" w:type="dxa"/>
              <w:left w:w="5" w:type="dxa"/>
              <w:bottom w:w="0" w:type="dxa"/>
              <w:right w:w="5" w:type="dxa"/>
            </w:tcMar>
            <w:vAlign w:val="bottom"/>
            <w:hideMark/>
          </w:tcPr>
          <w:p w14:paraId="566420CA"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r w:rsidRPr="002A34AC">
              <w:rPr>
                <w:rFonts w:ascii="Calibri" w:eastAsia="Times New Roman" w:hAnsi="Calibri" w:cs="Arial"/>
                <w:b/>
                <w:bCs/>
                <w:color w:val="000000"/>
                <w:kern w:val="24"/>
                <w:sz w:val="18"/>
                <w:szCs w:val="18"/>
                <w:lang w:eastAsia="en-AU"/>
              </w:rPr>
              <w:t>Total Number of Questions:</w:t>
            </w:r>
          </w:p>
        </w:tc>
        <w:tc>
          <w:tcPr>
            <w:tcW w:w="960" w:type="dxa"/>
            <w:tcBorders>
              <w:top w:val="nil"/>
              <w:left w:val="nil"/>
              <w:bottom w:val="nil"/>
              <w:right w:val="nil"/>
            </w:tcBorders>
            <w:shd w:val="clear" w:color="auto" w:fill="auto"/>
            <w:tcMar>
              <w:top w:w="5" w:type="dxa"/>
              <w:left w:w="5" w:type="dxa"/>
              <w:bottom w:w="0" w:type="dxa"/>
              <w:right w:w="5" w:type="dxa"/>
            </w:tcMar>
            <w:vAlign w:val="bottom"/>
            <w:hideMark/>
          </w:tcPr>
          <w:p w14:paraId="5A4ACC8F" w14:textId="77777777" w:rsidR="00AB5969" w:rsidRPr="002A34AC" w:rsidRDefault="00AB5969" w:rsidP="00D20773">
            <w:pPr>
              <w:spacing w:after="0" w:line="240" w:lineRule="auto"/>
              <w:jc w:val="right"/>
              <w:textAlignment w:val="bottom"/>
              <w:rPr>
                <w:rFonts w:ascii="Arial" w:eastAsia="Times New Roman" w:hAnsi="Arial" w:cs="Arial"/>
                <w:sz w:val="18"/>
                <w:szCs w:val="18"/>
                <w:lang w:eastAsia="en-AU"/>
              </w:rPr>
            </w:pPr>
            <w:r w:rsidRPr="002A34AC">
              <w:rPr>
                <w:rFonts w:ascii="Calibri" w:eastAsia="Times New Roman" w:hAnsi="Calibri" w:cs="Arial"/>
                <w:b/>
                <w:bCs/>
                <w:color w:val="000000"/>
                <w:kern w:val="24"/>
                <w:sz w:val="18"/>
                <w:szCs w:val="18"/>
                <w:lang w:eastAsia="en-AU"/>
              </w:rPr>
              <w:t>120</w:t>
            </w:r>
          </w:p>
        </w:tc>
      </w:tr>
    </w:tbl>
    <w:p w14:paraId="5F2E662A" w14:textId="77777777" w:rsidR="00AB5969" w:rsidRDefault="00AB5969" w:rsidP="00D20773"/>
    <w:p w14:paraId="121243D0" w14:textId="77777777" w:rsidR="00AB5969" w:rsidRDefault="00AB5969" w:rsidP="00D20773">
      <w:pPr>
        <w:sectPr w:rsidR="00AB5969" w:rsidSect="00D20773">
          <w:footerReference w:type="default" r:id="rId7"/>
          <w:type w:val="continuous"/>
          <w:pgSz w:w="16838" w:h="11906" w:orient="landscape"/>
          <w:pgMar w:top="1440" w:right="1440" w:bottom="1440" w:left="1440" w:header="708" w:footer="708" w:gutter="0"/>
          <w:cols w:space="708"/>
          <w:docGrid w:linePitch="360"/>
        </w:sectPr>
      </w:pPr>
    </w:p>
    <w:p w14:paraId="61C031EA" w14:textId="77777777" w:rsidR="00AB5969" w:rsidRDefault="00AB5969" w:rsidP="00D20773">
      <w:r w:rsidRPr="006A05A6">
        <w:rPr>
          <w:b/>
        </w:rPr>
        <w:lastRenderedPageBreak/>
        <w:t>Appendix 1.</w:t>
      </w:r>
      <w:r>
        <w:t xml:space="preserve"> Table showing the Optometry Australia Entry-level Competency Standards for Optometry 2014 (modified from reference </w:t>
      </w:r>
      <w:r>
        <w:rPr>
          <w:noProof/>
        </w:rPr>
        <w:t>[7]</w:t>
      </w:r>
      <w:r>
        <w:t xml:space="preserve">) that are examined in the 120 item, single best answer, Clinical Science MCQ examination that forms the first part of the OCANZ Competence in Optometry Examination. </w:t>
      </w:r>
      <w:r w:rsidRPr="006A05A6">
        <w:rPr>
          <w:b/>
        </w:rPr>
        <w:t>†</w:t>
      </w:r>
      <w:r>
        <w:t xml:space="preserve">The approximate number of questions from each assessed competency that are included in a typical examination. </w:t>
      </w:r>
      <w:r w:rsidRPr="006A05A6">
        <w:rPr>
          <w:b/>
        </w:rPr>
        <w:t>‡</w:t>
      </w:r>
      <w:r>
        <w:t>Note that ocular therapeutics and pharmacological treatment are not assessed in the COE as candidates must either complete the Assessment in Ocular Therapeutics (ACOT) examination conducted by OCANZ (if they hold an overseas qualification in ocular therapeutics) or undertake an approved ocular therapeutics course.</w:t>
      </w:r>
    </w:p>
    <w:p w14:paraId="2547D66B" w14:textId="77777777" w:rsidR="00AB5969" w:rsidRDefault="00AB5969" w:rsidP="00D20773">
      <w:r>
        <w:br w:type="page"/>
      </w:r>
    </w:p>
    <w:p w14:paraId="4FF99CBD" w14:textId="77777777" w:rsidR="00AB5969" w:rsidRDefault="00AB5969" w:rsidP="00D20773">
      <w:pPr>
        <w:sectPr w:rsidR="00AB5969" w:rsidSect="00D20773">
          <w:type w:val="continuous"/>
          <w:pgSz w:w="11906" w:h="16838"/>
          <w:pgMar w:top="1440" w:right="1440" w:bottom="1440" w:left="1440" w:header="708" w:footer="708" w:gutter="0"/>
          <w:cols w:space="708"/>
          <w:docGrid w:linePitch="360"/>
        </w:sectPr>
      </w:pPr>
    </w:p>
    <w:tbl>
      <w:tblPr>
        <w:tblW w:w="17782" w:type="dxa"/>
        <w:tblCellMar>
          <w:left w:w="0" w:type="dxa"/>
          <w:right w:w="0" w:type="dxa"/>
        </w:tblCellMar>
        <w:tblLook w:val="0600" w:firstRow="0" w:lastRow="0" w:firstColumn="0" w:lastColumn="0" w:noHBand="1" w:noVBand="1"/>
      </w:tblPr>
      <w:tblGrid>
        <w:gridCol w:w="17750"/>
        <w:gridCol w:w="16"/>
        <w:gridCol w:w="16"/>
      </w:tblGrid>
      <w:tr w:rsidR="00AB5969" w:rsidRPr="002A34AC" w14:paraId="3DB67B6F" w14:textId="77777777" w:rsidTr="00D20773">
        <w:trPr>
          <w:trHeight w:val="332"/>
        </w:trPr>
        <w:tc>
          <w:tcPr>
            <w:tcW w:w="17750" w:type="dxa"/>
            <w:tcBorders>
              <w:top w:val="nil"/>
              <w:left w:val="nil"/>
              <w:bottom w:val="nil"/>
              <w:right w:val="nil"/>
            </w:tcBorders>
            <w:shd w:val="clear" w:color="auto" w:fill="auto"/>
            <w:tcMar>
              <w:top w:w="5" w:type="dxa"/>
              <w:left w:w="5" w:type="dxa"/>
              <w:bottom w:w="0" w:type="dxa"/>
              <w:right w:w="5" w:type="dxa"/>
            </w:tcMar>
            <w:vAlign w:val="bottom"/>
          </w:tcPr>
          <w:tbl>
            <w:tblPr>
              <w:tblW w:w="10060" w:type="dxa"/>
              <w:tblCellMar>
                <w:left w:w="0" w:type="dxa"/>
                <w:right w:w="0" w:type="dxa"/>
              </w:tblCellMar>
              <w:tblLook w:val="0600" w:firstRow="0" w:lastRow="0" w:firstColumn="0" w:lastColumn="0" w:noHBand="1" w:noVBand="1"/>
            </w:tblPr>
            <w:tblGrid>
              <w:gridCol w:w="2122"/>
              <w:gridCol w:w="7087"/>
              <w:gridCol w:w="851"/>
            </w:tblGrid>
            <w:tr w:rsidR="00AB5969" w:rsidRPr="002D3D48" w14:paraId="7D3D26B9" w14:textId="77777777" w:rsidTr="00D20773">
              <w:trPr>
                <w:trHeight w:val="332"/>
              </w:trPr>
              <w:tc>
                <w:tcPr>
                  <w:tcW w:w="2122" w:type="dxa"/>
                  <w:tcBorders>
                    <w:top w:val="nil"/>
                    <w:left w:val="nil"/>
                    <w:bottom w:val="nil"/>
                    <w:right w:val="nil"/>
                  </w:tcBorders>
                  <w:shd w:val="clear" w:color="auto" w:fill="auto"/>
                  <w:tcMar>
                    <w:top w:w="15" w:type="dxa"/>
                    <w:left w:w="15" w:type="dxa"/>
                    <w:bottom w:w="0" w:type="dxa"/>
                    <w:right w:w="15" w:type="dxa"/>
                  </w:tcMar>
                  <w:vAlign w:val="bottom"/>
                  <w:hideMark/>
                </w:tcPr>
                <w:p w14:paraId="35FEDEA5"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b/>
                      <w:bCs/>
                      <w:sz w:val="16"/>
                      <w:szCs w:val="16"/>
                      <w:lang w:eastAsia="en-AU"/>
                    </w:rPr>
                    <w:lastRenderedPageBreak/>
                    <w:t>Competenc</w:t>
                  </w:r>
                  <w:r>
                    <w:rPr>
                      <w:rFonts w:eastAsia="Times New Roman" w:cs="Arial"/>
                      <w:b/>
                      <w:bCs/>
                      <w:sz w:val="16"/>
                      <w:szCs w:val="16"/>
                      <w:lang w:eastAsia="en-AU"/>
                    </w:rPr>
                    <w:t>y</w:t>
                  </w:r>
                </w:p>
              </w:tc>
              <w:tc>
                <w:tcPr>
                  <w:tcW w:w="7087" w:type="dxa"/>
                  <w:tcBorders>
                    <w:top w:val="nil"/>
                    <w:left w:val="nil"/>
                    <w:bottom w:val="nil"/>
                    <w:right w:val="nil"/>
                  </w:tcBorders>
                  <w:shd w:val="clear" w:color="auto" w:fill="auto"/>
                  <w:tcMar>
                    <w:top w:w="15" w:type="dxa"/>
                    <w:left w:w="15" w:type="dxa"/>
                    <w:bottom w:w="0" w:type="dxa"/>
                    <w:right w:w="15" w:type="dxa"/>
                  </w:tcMar>
                  <w:vAlign w:val="bottom"/>
                  <w:hideMark/>
                </w:tcPr>
                <w:p w14:paraId="0DB02D92"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b/>
                      <w:bCs/>
                      <w:sz w:val="16"/>
                      <w:szCs w:val="16"/>
                      <w:lang w:eastAsia="en-AU"/>
                    </w:rPr>
                    <w:t>Specific Elements and Performance Criteria</w:t>
                  </w:r>
                </w:p>
              </w:tc>
              <w:tc>
                <w:tcPr>
                  <w:tcW w:w="851" w:type="dxa"/>
                  <w:tcBorders>
                    <w:top w:val="nil"/>
                    <w:left w:val="nil"/>
                    <w:bottom w:val="nil"/>
                    <w:right w:val="nil"/>
                  </w:tcBorders>
                  <w:shd w:val="clear" w:color="auto" w:fill="auto"/>
                  <w:tcMar>
                    <w:top w:w="15" w:type="dxa"/>
                    <w:left w:w="15" w:type="dxa"/>
                    <w:bottom w:w="0" w:type="dxa"/>
                    <w:right w:w="15" w:type="dxa"/>
                  </w:tcMar>
                  <w:vAlign w:val="bottom"/>
                  <w:hideMark/>
                </w:tcPr>
                <w:p w14:paraId="3AD0F469" w14:textId="77777777" w:rsidR="00AB5969" w:rsidRPr="002D3D48" w:rsidRDefault="00AB5969" w:rsidP="00D20773">
                  <w:pPr>
                    <w:spacing w:after="0" w:line="240" w:lineRule="auto"/>
                    <w:ind w:left="-15"/>
                    <w:textAlignment w:val="bottom"/>
                    <w:rPr>
                      <w:rFonts w:eastAsia="Times New Roman" w:cs="Arial"/>
                      <w:sz w:val="16"/>
                      <w:szCs w:val="16"/>
                      <w:lang w:eastAsia="en-AU"/>
                    </w:rPr>
                  </w:pPr>
                  <w:r w:rsidRPr="002D3D48">
                    <w:rPr>
                      <w:rFonts w:eastAsia="Times New Roman" w:cs="Arial"/>
                      <w:b/>
                      <w:bCs/>
                      <w:sz w:val="16"/>
                      <w:szCs w:val="16"/>
                      <w:lang w:eastAsia="en-AU"/>
                    </w:rPr>
                    <w:t>Questions</w:t>
                  </w:r>
                  <w:r>
                    <w:rPr>
                      <w:rFonts w:ascii="Calibri" w:eastAsia="Times New Roman" w:hAnsi="Calibri" w:cs="Arial"/>
                      <w:b/>
                      <w:bCs/>
                      <w:color w:val="000000"/>
                      <w:kern w:val="24"/>
                      <w:sz w:val="18"/>
                      <w:szCs w:val="18"/>
                      <w:lang w:eastAsia="en-AU"/>
                    </w:rPr>
                    <w:t xml:space="preserve"> †</w:t>
                  </w:r>
                </w:p>
              </w:tc>
            </w:tr>
            <w:tr w:rsidR="00AB5969" w:rsidRPr="002D3D48" w14:paraId="25F33D7E" w14:textId="77777777" w:rsidTr="00D20773">
              <w:trPr>
                <w:trHeight w:val="1031"/>
              </w:trPr>
              <w:tc>
                <w:tcPr>
                  <w:tcW w:w="2122" w:type="dxa"/>
                  <w:tcBorders>
                    <w:top w:val="nil"/>
                    <w:left w:val="nil"/>
                    <w:bottom w:val="nil"/>
                    <w:right w:val="nil"/>
                  </w:tcBorders>
                  <w:shd w:val="clear" w:color="auto" w:fill="E7E6E6"/>
                  <w:tcMar>
                    <w:top w:w="15" w:type="dxa"/>
                    <w:left w:w="15" w:type="dxa"/>
                    <w:bottom w:w="0" w:type="dxa"/>
                    <w:right w:w="15" w:type="dxa"/>
                  </w:tcMar>
                  <w:hideMark/>
                </w:tcPr>
                <w:p w14:paraId="2E038B75"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 xml:space="preserve">Formulation of examination plan, assessment of the ocular </w:t>
                  </w:r>
                  <w:proofErr w:type="spellStart"/>
                  <w:r w:rsidRPr="002D3D48">
                    <w:rPr>
                      <w:rFonts w:eastAsia="Times New Roman" w:cs="Arial"/>
                      <w:sz w:val="16"/>
                      <w:szCs w:val="16"/>
                      <w:lang w:eastAsia="en-AU"/>
                    </w:rPr>
                    <w:t>adnexae</w:t>
                  </w:r>
                  <w:proofErr w:type="spellEnd"/>
                  <w:r w:rsidRPr="002D3D48">
                    <w:rPr>
                      <w:rFonts w:eastAsia="Times New Roman" w:cs="Arial"/>
                      <w:sz w:val="16"/>
                      <w:szCs w:val="16"/>
                      <w:lang w:eastAsia="en-AU"/>
                    </w:rPr>
                    <w:t xml:space="preserve"> and the eye, diagnosis</w:t>
                  </w:r>
                </w:p>
              </w:tc>
              <w:tc>
                <w:tcPr>
                  <w:tcW w:w="7087" w:type="dxa"/>
                  <w:tcBorders>
                    <w:top w:val="nil"/>
                    <w:left w:val="nil"/>
                    <w:bottom w:val="nil"/>
                    <w:right w:val="nil"/>
                  </w:tcBorders>
                  <w:shd w:val="clear" w:color="auto" w:fill="E7E6E6"/>
                  <w:tcMar>
                    <w:top w:w="15" w:type="dxa"/>
                    <w:left w:w="15" w:type="dxa"/>
                    <w:bottom w:w="0" w:type="dxa"/>
                    <w:right w:w="15" w:type="dxa"/>
                  </w:tcMar>
                  <w:vAlign w:val="bottom"/>
                  <w:hideMark/>
                </w:tcPr>
                <w:p w14:paraId="5909D1E8"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3.1.1 An examination plan based on the patient history is designed to obtain the information necessary for diagnosis and management.</w:t>
                  </w:r>
                  <w:r w:rsidRPr="002D3D48">
                    <w:rPr>
                      <w:rFonts w:eastAsia="Times New Roman" w:cs="Arial"/>
                      <w:sz w:val="16"/>
                      <w:szCs w:val="16"/>
                      <w:lang w:eastAsia="en-AU"/>
                    </w:rPr>
                    <w:br/>
                    <w:t>3.1.2 Tests and procedures appropriate to the patient's condition and abilities are selected.</w:t>
                  </w:r>
                  <w:r w:rsidRPr="002D3D48">
                    <w:rPr>
                      <w:rFonts w:eastAsia="Times New Roman" w:cs="Arial"/>
                      <w:sz w:val="16"/>
                      <w:szCs w:val="16"/>
                      <w:lang w:eastAsia="en-AU"/>
                    </w:rPr>
                    <w:br/>
                    <w:t>3.2.1 Tests and procedures which efficiently provide the information required for diagnosis are performed.</w:t>
                  </w:r>
                  <w:r w:rsidRPr="002D3D48">
                    <w:rPr>
                      <w:rFonts w:eastAsia="Times New Roman" w:cs="Arial"/>
                      <w:sz w:val="16"/>
                      <w:szCs w:val="16"/>
                      <w:lang w:eastAsia="en-AU"/>
                    </w:rPr>
                    <w:br/>
                    <w:t xml:space="preserve">3.3 Assesses the ocular </w:t>
                  </w:r>
                  <w:proofErr w:type="spellStart"/>
                  <w:r w:rsidRPr="002D3D48">
                    <w:rPr>
                      <w:rFonts w:eastAsia="Times New Roman" w:cs="Arial"/>
                      <w:sz w:val="16"/>
                      <w:szCs w:val="16"/>
                      <w:lang w:eastAsia="en-AU"/>
                    </w:rPr>
                    <w:t>adnexae</w:t>
                  </w:r>
                  <w:proofErr w:type="spellEnd"/>
                  <w:r w:rsidRPr="002D3D48">
                    <w:rPr>
                      <w:rFonts w:eastAsia="Times New Roman" w:cs="Arial"/>
                      <w:sz w:val="16"/>
                      <w:szCs w:val="16"/>
                      <w:lang w:eastAsia="en-AU"/>
                    </w:rPr>
                    <w:t xml:space="preserve"> and the eye.</w:t>
                  </w:r>
                  <w:r w:rsidRPr="002D3D48">
                    <w:rPr>
                      <w:rFonts w:eastAsia="Times New Roman" w:cs="Arial"/>
                      <w:sz w:val="16"/>
                      <w:szCs w:val="16"/>
                      <w:lang w:eastAsia="en-AU"/>
                    </w:rPr>
                    <w:br/>
                    <w:t>4.1 Establishes a diagnosis or diagnoses.</w:t>
                  </w:r>
                </w:p>
              </w:tc>
              <w:tc>
                <w:tcPr>
                  <w:tcW w:w="851" w:type="dxa"/>
                  <w:tcBorders>
                    <w:top w:val="nil"/>
                    <w:left w:val="nil"/>
                    <w:bottom w:val="nil"/>
                    <w:right w:val="nil"/>
                  </w:tcBorders>
                  <w:shd w:val="clear" w:color="auto" w:fill="E7E6E6"/>
                  <w:tcMar>
                    <w:top w:w="15" w:type="dxa"/>
                    <w:left w:w="15" w:type="dxa"/>
                    <w:bottom w:w="0" w:type="dxa"/>
                    <w:right w:w="15" w:type="dxa"/>
                  </w:tcMar>
                  <w:vAlign w:val="bottom"/>
                  <w:hideMark/>
                </w:tcPr>
                <w:p w14:paraId="68C69948"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3</w:t>
                  </w:r>
                </w:p>
              </w:tc>
            </w:tr>
            <w:tr w:rsidR="00AB5969" w:rsidRPr="002D3D48" w14:paraId="0CE9C9E5" w14:textId="77777777" w:rsidTr="00D20773">
              <w:trPr>
                <w:trHeight w:val="65"/>
              </w:trPr>
              <w:tc>
                <w:tcPr>
                  <w:tcW w:w="2122" w:type="dxa"/>
                  <w:tcBorders>
                    <w:top w:val="nil"/>
                    <w:left w:val="nil"/>
                    <w:bottom w:val="nil"/>
                    <w:right w:val="nil"/>
                  </w:tcBorders>
                  <w:shd w:val="clear" w:color="auto" w:fill="auto"/>
                  <w:tcMar>
                    <w:top w:w="15" w:type="dxa"/>
                    <w:left w:w="15" w:type="dxa"/>
                    <w:bottom w:w="0" w:type="dxa"/>
                    <w:right w:w="15" w:type="dxa"/>
                  </w:tcMar>
                  <w:hideMark/>
                </w:tcPr>
                <w:p w14:paraId="7F8AD88C"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 xml:space="preserve">Assessment of pupil function, establishment of diagnoses, </w:t>
                  </w:r>
                  <w:proofErr w:type="gramStart"/>
                  <w:r w:rsidRPr="002D3D48">
                    <w:rPr>
                      <w:rFonts w:eastAsia="Times New Roman" w:cs="Arial"/>
                      <w:sz w:val="16"/>
                      <w:szCs w:val="16"/>
                      <w:lang w:eastAsia="en-AU"/>
                    </w:rPr>
                    <w:t>interpretation</w:t>
                  </w:r>
                  <w:proofErr w:type="gramEnd"/>
                  <w:r w:rsidRPr="002D3D48">
                    <w:rPr>
                      <w:rFonts w:eastAsia="Times New Roman" w:cs="Arial"/>
                      <w:sz w:val="16"/>
                      <w:szCs w:val="16"/>
                      <w:lang w:eastAsia="en-AU"/>
                    </w:rPr>
                    <w:t xml:space="preserve"> and analysis of findings to establish a diagnosis, including formulation and implementation of examination plan</w:t>
                  </w:r>
                </w:p>
              </w:tc>
              <w:tc>
                <w:tcPr>
                  <w:tcW w:w="7087" w:type="dxa"/>
                  <w:tcBorders>
                    <w:top w:val="nil"/>
                    <w:left w:val="nil"/>
                    <w:bottom w:val="nil"/>
                    <w:right w:val="nil"/>
                  </w:tcBorders>
                  <w:shd w:val="clear" w:color="auto" w:fill="auto"/>
                  <w:tcMar>
                    <w:top w:w="15" w:type="dxa"/>
                    <w:left w:w="15" w:type="dxa"/>
                    <w:bottom w:w="0" w:type="dxa"/>
                    <w:right w:w="15" w:type="dxa"/>
                  </w:tcMar>
                  <w:vAlign w:val="bottom"/>
                  <w:hideMark/>
                </w:tcPr>
                <w:p w14:paraId="0CA26188"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3.1 Formulates an examination plan.</w:t>
                  </w:r>
                  <w:r w:rsidRPr="002D3D48">
                    <w:rPr>
                      <w:rFonts w:eastAsia="Times New Roman" w:cs="Arial"/>
                      <w:sz w:val="16"/>
                      <w:szCs w:val="16"/>
                      <w:lang w:eastAsia="en-AU"/>
                    </w:rPr>
                    <w:br/>
                    <w:t>3.2.1 Tests and procedures which efficiently provide the information required for diagnosis are performed.</w:t>
                  </w:r>
                  <w:r w:rsidRPr="002D3D48">
                    <w:rPr>
                      <w:rFonts w:eastAsia="Times New Roman" w:cs="Arial"/>
                      <w:sz w:val="16"/>
                      <w:szCs w:val="16"/>
                      <w:lang w:eastAsia="en-AU"/>
                    </w:rPr>
                    <w:br/>
                    <w:t>3.4.4 Pupil function is assessed.</w:t>
                  </w:r>
                  <w:r w:rsidRPr="002D3D48">
                    <w:rPr>
                      <w:rFonts w:eastAsia="Times New Roman" w:cs="Arial"/>
                      <w:sz w:val="16"/>
                      <w:szCs w:val="16"/>
                      <w:lang w:eastAsia="en-AU"/>
                    </w:rPr>
                    <w:br/>
                    <w:t>4.1 Establishes a diagnosis or diagnoses.</w:t>
                  </w:r>
                </w:p>
              </w:tc>
              <w:tc>
                <w:tcPr>
                  <w:tcW w:w="851" w:type="dxa"/>
                  <w:tcBorders>
                    <w:top w:val="nil"/>
                    <w:left w:val="nil"/>
                    <w:bottom w:val="nil"/>
                    <w:right w:val="nil"/>
                  </w:tcBorders>
                  <w:shd w:val="clear" w:color="auto" w:fill="auto"/>
                  <w:tcMar>
                    <w:top w:w="15" w:type="dxa"/>
                    <w:left w:w="15" w:type="dxa"/>
                    <w:bottom w:w="0" w:type="dxa"/>
                    <w:right w:w="15" w:type="dxa"/>
                  </w:tcMar>
                  <w:vAlign w:val="bottom"/>
                  <w:hideMark/>
                </w:tcPr>
                <w:p w14:paraId="4C845CD2"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1</w:t>
                  </w:r>
                </w:p>
              </w:tc>
            </w:tr>
            <w:tr w:rsidR="00AB5969" w:rsidRPr="002D3D48" w14:paraId="33F1A350" w14:textId="77777777" w:rsidTr="00D20773">
              <w:tc>
                <w:tcPr>
                  <w:tcW w:w="2122" w:type="dxa"/>
                  <w:tcBorders>
                    <w:top w:val="nil"/>
                    <w:left w:val="nil"/>
                    <w:bottom w:val="nil"/>
                    <w:right w:val="nil"/>
                  </w:tcBorders>
                  <w:shd w:val="clear" w:color="auto" w:fill="E7E6E6"/>
                  <w:tcMar>
                    <w:top w:w="15" w:type="dxa"/>
                    <w:left w:w="15" w:type="dxa"/>
                    <w:bottom w:w="0" w:type="dxa"/>
                    <w:right w:w="15" w:type="dxa"/>
                  </w:tcMar>
                  <w:hideMark/>
                </w:tcPr>
                <w:p w14:paraId="7FF3155A"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Treatment/management program</w:t>
                  </w:r>
                </w:p>
              </w:tc>
              <w:tc>
                <w:tcPr>
                  <w:tcW w:w="7087" w:type="dxa"/>
                  <w:tcBorders>
                    <w:top w:val="nil"/>
                    <w:left w:val="nil"/>
                    <w:bottom w:val="nil"/>
                    <w:right w:val="nil"/>
                  </w:tcBorders>
                  <w:shd w:val="clear" w:color="auto" w:fill="E7E6E6"/>
                  <w:tcMar>
                    <w:top w:w="15" w:type="dxa"/>
                    <w:left w:w="15" w:type="dxa"/>
                    <w:bottom w:w="0" w:type="dxa"/>
                    <w:right w:w="15" w:type="dxa"/>
                  </w:tcMar>
                  <w:vAlign w:val="bottom"/>
                  <w:hideMark/>
                </w:tcPr>
                <w:p w14:paraId="2B87229F"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4.4 Designs a management plan in consultation with the patient and implements the agreed plan.</w:t>
                  </w:r>
                </w:p>
              </w:tc>
              <w:tc>
                <w:tcPr>
                  <w:tcW w:w="851" w:type="dxa"/>
                  <w:tcBorders>
                    <w:top w:val="nil"/>
                    <w:left w:val="nil"/>
                    <w:bottom w:val="nil"/>
                    <w:right w:val="nil"/>
                  </w:tcBorders>
                  <w:shd w:val="clear" w:color="auto" w:fill="E7E6E6"/>
                  <w:tcMar>
                    <w:top w:w="15" w:type="dxa"/>
                    <w:left w:w="15" w:type="dxa"/>
                    <w:bottom w:w="0" w:type="dxa"/>
                    <w:right w:w="15" w:type="dxa"/>
                  </w:tcMar>
                  <w:vAlign w:val="bottom"/>
                  <w:hideMark/>
                </w:tcPr>
                <w:p w14:paraId="7A47EA3A"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2</w:t>
                  </w:r>
                </w:p>
              </w:tc>
            </w:tr>
            <w:tr w:rsidR="00AB5969" w:rsidRPr="002D3D48" w14:paraId="664E43BB" w14:textId="77777777" w:rsidTr="00D20773">
              <w:tc>
                <w:tcPr>
                  <w:tcW w:w="2122" w:type="dxa"/>
                  <w:tcBorders>
                    <w:top w:val="nil"/>
                    <w:left w:val="nil"/>
                    <w:bottom w:val="nil"/>
                    <w:right w:val="nil"/>
                  </w:tcBorders>
                  <w:shd w:val="clear" w:color="auto" w:fill="auto"/>
                  <w:tcMar>
                    <w:top w:w="15" w:type="dxa"/>
                    <w:left w:w="15" w:type="dxa"/>
                    <w:bottom w:w="0" w:type="dxa"/>
                    <w:right w:w="15" w:type="dxa"/>
                  </w:tcMar>
                  <w:hideMark/>
                </w:tcPr>
                <w:p w14:paraId="581311CC"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Prescription of contact lenses, including formulation and implementation of an examination plan</w:t>
                  </w:r>
                </w:p>
              </w:tc>
              <w:tc>
                <w:tcPr>
                  <w:tcW w:w="7087" w:type="dxa"/>
                  <w:tcBorders>
                    <w:top w:val="nil"/>
                    <w:left w:val="nil"/>
                    <w:bottom w:val="nil"/>
                    <w:right w:val="nil"/>
                  </w:tcBorders>
                  <w:shd w:val="clear" w:color="auto" w:fill="auto"/>
                  <w:tcMar>
                    <w:top w:w="15" w:type="dxa"/>
                    <w:left w:w="15" w:type="dxa"/>
                    <w:bottom w:w="0" w:type="dxa"/>
                    <w:right w:w="15" w:type="dxa"/>
                  </w:tcMar>
                  <w:vAlign w:val="bottom"/>
                  <w:hideMark/>
                </w:tcPr>
                <w:p w14:paraId="6E9EA1DD"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3.1.1 An examination plan based on the patient history is designed to obtain the information necessary for diagnosis and management.</w:t>
                  </w:r>
                  <w:r w:rsidRPr="002D3D48">
                    <w:rPr>
                      <w:rFonts w:eastAsia="Times New Roman" w:cs="Arial"/>
                      <w:sz w:val="16"/>
                      <w:szCs w:val="16"/>
                      <w:lang w:eastAsia="en-AU"/>
                    </w:rPr>
                    <w:br/>
                    <w:t>4.7.1 The suitability of contact lenses as a form of correction for the patient is assessed and discussed.</w:t>
                  </w:r>
                  <w:r w:rsidRPr="002D3D48">
                    <w:rPr>
                      <w:rFonts w:eastAsia="Times New Roman" w:cs="Arial"/>
                      <w:sz w:val="16"/>
                      <w:szCs w:val="16"/>
                      <w:lang w:eastAsia="en-AU"/>
                    </w:rPr>
                    <w:br/>
                    <w:t>4.7.2 The patient's refraction, visual requirements and other findings are applied to determine the contact lens prescription and lens type.</w:t>
                  </w:r>
                  <w:r w:rsidRPr="002D3D48">
                    <w:rPr>
                      <w:rFonts w:eastAsia="Times New Roman" w:cs="Arial"/>
                      <w:sz w:val="16"/>
                      <w:szCs w:val="16"/>
                      <w:lang w:eastAsia="en-AU"/>
                    </w:rPr>
                    <w:br/>
                    <w:t>4.7.4 Contact lenses with new fitting parameters are assessed on the eye prior to supply to the patient.</w:t>
                  </w:r>
                </w:p>
              </w:tc>
              <w:tc>
                <w:tcPr>
                  <w:tcW w:w="851" w:type="dxa"/>
                  <w:tcBorders>
                    <w:top w:val="nil"/>
                    <w:left w:val="nil"/>
                    <w:bottom w:val="nil"/>
                    <w:right w:val="nil"/>
                  </w:tcBorders>
                  <w:shd w:val="clear" w:color="auto" w:fill="auto"/>
                  <w:tcMar>
                    <w:top w:w="15" w:type="dxa"/>
                    <w:left w:w="15" w:type="dxa"/>
                    <w:bottom w:w="0" w:type="dxa"/>
                    <w:right w:w="15" w:type="dxa"/>
                  </w:tcMar>
                  <w:vAlign w:val="bottom"/>
                  <w:hideMark/>
                </w:tcPr>
                <w:p w14:paraId="56B4848F"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1.5</w:t>
                  </w:r>
                </w:p>
              </w:tc>
            </w:tr>
            <w:tr w:rsidR="00AB5969" w:rsidRPr="002D3D48" w14:paraId="2D1A91BA" w14:textId="77777777" w:rsidTr="00D20773">
              <w:tc>
                <w:tcPr>
                  <w:tcW w:w="2122" w:type="dxa"/>
                  <w:tcBorders>
                    <w:top w:val="nil"/>
                    <w:left w:val="nil"/>
                    <w:bottom w:val="nil"/>
                    <w:right w:val="nil"/>
                  </w:tcBorders>
                  <w:shd w:val="clear" w:color="auto" w:fill="E7E6E6"/>
                  <w:tcMar>
                    <w:top w:w="15" w:type="dxa"/>
                    <w:left w:w="15" w:type="dxa"/>
                    <w:bottom w:w="0" w:type="dxa"/>
                    <w:right w:w="15" w:type="dxa"/>
                  </w:tcMar>
                  <w:hideMark/>
                </w:tcPr>
                <w:p w14:paraId="63893858"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 xml:space="preserve">Assessment of visual fields and </w:t>
                  </w:r>
                  <w:proofErr w:type="spellStart"/>
                  <w:r w:rsidRPr="002D3D48">
                    <w:rPr>
                      <w:rFonts w:eastAsia="Times New Roman" w:cs="Arial"/>
                      <w:sz w:val="16"/>
                      <w:szCs w:val="16"/>
                      <w:lang w:eastAsia="en-AU"/>
                    </w:rPr>
                    <w:t>colour</w:t>
                  </w:r>
                  <w:proofErr w:type="spellEnd"/>
                  <w:r w:rsidRPr="002D3D48">
                    <w:rPr>
                      <w:rFonts w:eastAsia="Times New Roman" w:cs="Arial"/>
                      <w:sz w:val="16"/>
                      <w:szCs w:val="16"/>
                      <w:lang w:eastAsia="en-AU"/>
                    </w:rPr>
                    <w:t xml:space="preserve"> vision including examination plan and interpretation and analysis of findings to establish a diagnosis</w:t>
                  </w:r>
                </w:p>
              </w:tc>
              <w:tc>
                <w:tcPr>
                  <w:tcW w:w="7087" w:type="dxa"/>
                  <w:tcBorders>
                    <w:top w:val="nil"/>
                    <w:left w:val="nil"/>
                    <w:bottom w:val="nil"/>
                    <w:right w:val="nil"/>
                  </w:tcBorders>
                  <w:shd w:val="clear" w:color="auto" w:fill="E7E6E6"/>
                  <w:tcMar>
                    <w:top w:w="15" w:type="dxa"/>
                    <w:left w:w="15" w:type="dxa"/>
                    <w:bottom w:w="0" w:type="dxa"/>
                    <w:right w:w="15" w:type="dxa"/>
                  </w:tcMar>
                  <w:vAlign w:val="bottom"/>
                  <w:hideMark/>
                </w:tcPr>
                <w:p w14:paraId="224378E3"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3.1.1 An examination plan based on the patient history is designed to obtain the information necessary for diagnosis and management.</w:t>
                  </w:r>
                  <w:r w:rsidRPr="002D3D48">
                    <w:rPr>
                      <w:rFonts w:eastAsia="Times New Roman" w:cs="Arial"/>
                      <w:sz w:val="16"/>
                      <w:szCs w:val="16"/>
                      <w:lang w:eastAsia="en-AU"/>
                    </w:rPr>
                    <w:br/>
                    <w:t>3.4.2 Visual fields are measured.</w:t>
                  </w:r>
                  <w:r w:rsidRPr="002D3D48">
                    <w:rPr>
                      <w:rFonts w:eastAsia="Times New Roman" w:cs="Arial"/>
                      <w:sz w:val="16"/>
                      <w:szCs w:val="16"/>
                      <w:lang w:eastAsia="en-AU"/>
                    </w:rPr>
                    <w:br/>
                    <w:t xml:space="preserve">3.4.3 </w:t>
                  </w:r>
                  <w:proofErr w:type="spellStart"/>
                  <w:r w:rsidRPr="002D3D48">
                    <w:rPr>
                      <w:rFonts w:eastAsia="Times New Roman" w:cs="Arial"/>
                      <w:sz w:val="16"/>
                      <w:szCs w:val="16"/>
                      <w:lang w:eastAsia="en-AU"/>
                    </w:rPr>
                    <w:t>Colour</w:t>
                  </w:r>
                  <w:proofErr w:type="spellEnd"/>
                  <w:r w:rsidRPr="002D3D48">
                    <w:rPr>
                      <w:rFonts w:eastAsia="Times New Roman" w:cs="Arial"/>
                      <w:sz w:val="16"/>
                      <w:szCs w:val="16"/>
                      <w:lang w:eastAsia="en-AU"/>
                    </w:rPr>
                    <w:t xml:space="preserve"> vision is assessed.</w:t>
                  </w:r>
                  <w:r w:rsidRPr="002D3D48">
                    <w:rPr>
                      <w:rFonts w:eastAsia="Times New Roman" w:cs="Arial"/>
                      <w:sz w:val="16"/>
                      <w:szCs w:val="16"/>
                      <w:lang w:eastAsia="en-AU"/>
                    </w:rPr>
                    <w:br/>
                    <w:t>4.1 Establishes a diagnosis or diagnoses.</w:t>
                  </w:r>
                </w:p>
              </w:tc>
              <w:tc>
                <w:tcPr>
                  <w:tcW w:w="851" w:type="dxa"/>
                  <w:tcBorders>
                    <w:top w:val="nil"/>
                    <w:left w:val="nil"/>
                    <w:bottom w:val="nil"/>
                    <w:right w:val="nil"/>
                  </w:tcBorders>
                  <w:shd w:val="clear" w:color="auto" w:fill="E7E6E6"/>
                  <w:tcMar>
                    <w:top w:w="15" w:type="dxa"/>
                    <w:left w:w="15" w:type="dxa"/>
                    <w:bottom w:w="0" w:type="dxa"/>
                    <w:right w:w="15" w:type="dxa"/>
                  </w:tcMar>
                  <w:vAlign w:val="bottom"/>
                  <w:hideMark/>
                </w:tcPr>
                <w:p w14:paraId="11816C0B"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2</w:t>
                  </w:r>
                </w:p>
              </w:tc>
            </w:tr>
            <w:tr w:rsidR="00AB5969" w:rsidRPr="002D3D48" w14:paraId="1D64D4E8" w14:textId="77777777" w:rsidTr="00D20773">
              <w:tc>
                <w:tcPr>
                  <w:tcW w:w="2122" w:type="dxa"/>
                  <w:tcBorders>
                    <w:top w:val="nil"/>
                    <w:left w:val="nil"/>
                    <w:bottom w:val="nil"/>
                    <w:right w:val="nil"/>
                  </w:tcBorders>
                  <w:shd w:val="clear" w:color="auto" w:fill="auto"/>
                  <w:tcMar>
                    <w:top w:w="15" w:type="dxa"/>
                    <w:left w:w="15" w:type="dxa"/>
                    <w:bottom w:w="0" w:type="dxa"/>
                    <w:right w:w="15" w:type="dxa"/>
                  </w:tcMar>
                  <w:hideMark/>
                </w:tcPr>
                <w:p w14:paraId="6F555B18"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Assessment of oculomotor and binocular function including examination plan, including interpretation and analysis of findings to establish a diagnosis</w:t>
                  </w:r>
                </w:p>
              </w:tc>
              <w:tc>
                <w:tcPr>
                  <w:tcW w:w="7087" w:type="dxa"/>
                  <w:tcBorders>
                    <w:top w:val="nil"/>
                    <w:left w:val="nil"/>
                    <w:bottom w:val="nil"/>
                    <w:right w:val="nil"/>
                  </w:tcBorders>
                  <w:shd w:val="clear" w:color="auto" w:fill="auto"/>
                  <w:tcMar>
                    <w:top w:w="15" w:type="dxa"/>
                    <w:left w:w="15" w:type="dxa"/>
                    <w:bottom w:w="0" w:type="dxa"/>
                    <w:right w:w="15" w:type="dxa"/>
                  </w:tcMar>
                  <w:vAlign w:val="bottom"/>
                  <w:hideMark/>
                </w:tcPr>
                <w:p w14:paraId="38948F58"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3.1.1 An examination plan based on the patient history is designed to obtain the information necessary for diagnosis and management.</w:t>
                  </w:r>
                  <w:r w:rsidRPr="002D3D48">
                    <w:rPr>
                      <w:rFonts w:eastAsia="Times New Roman" w:cs="Arial"/>
                      <w:sz w:val="16"/>
                      <w:szCs w:val="16"/>
                      <w:lang w:eastAsia="en-AU"/>
                    </w:rPr>
                    <w:br/>
                    <w:t>3.6.1 Eye alignment and the state of fixation are assessed.</w:t>
                  </w:r>
                  <w:r w:rsidRPr="002D3D48">
                    <w:rPr>
                      <w:rFonts w:eastAsia="Times New Roman" w:cs="Arial"/>
                      <w:sz w:val="16"/>
                      <w:szCs w:val="16"/>
                      <w:lang w:eastAsia="en-AU"/>
                    </w:rPr>
                    <w:br/>
                    <w:t>3.6.2 The quality and range of the patient's eye movements are determined.</w:t>
                  </w:r>
                  <w:r w:rsidRPr="002D3D48">
                    <w:rPr>
                      <w:rFonts w:eastAsia="Times New Roman" w:cs="Arial"/>
                      <w:sz w:val="16"/>
                      <w:szCs w:val="16"/>
                      <w:lang w:eastAsia="en-AU"/>
                    </w:rPr>
                    <w:br/>
                    <w:t>3.6.3 The status of binocularity is determined.</w:t>
                  </w:r>
                  <w:r w:rsidRPr="002D3D48">
                    <w:rPr>
                      <w:rFonts w:eastAsia="Times New Roman" w:cs="Arial"/>
                      <w:sz w:val="16"/>
                      <w:szCs w:val="16"/>
                      <w:lang w:eastAsia="en-AU"/>
                    </w:rPr>
                    <w:br/>
                    <w:t>3.6.4 The adaptability of the vergence system is determined.</w:t>
                  </w:r>
                  <w:r w:rsidRPr="002D3D48">
                    <w:rPr>
                      <w:rFonts w:eastAsia="Times New Roman" w:cs="Arial"/>
                      <w:sz w:val="16"/>
                      <w:szCs w:val="16"/>
                      <w:lang w:eastAsia="en-AU"/>
                    </w:rPr>
                    <w:br/>
                    <w:t>3.6.5 Placement and adaptability of accommodation are assessed.</w:t>
                  </w:r>
                  <w:r w:rsidRPr="002D3D48">
                    <w:rPr>
                      <w:rFonts w:eastAsia="Times New Roman" w:cs="Arial"/>
                      <w:sz w:val="16"/>
                      <w:szCs w:val="16"/>
                      <w:lang w:eastAsia="en-AU"/>
                    </w:rPr>
                    <w:br/>
                    <w:t>4.1 Establishes a diagnosis or diagnoses.</w:t>
                  </w:r>
                </w:p>
              </w:tc>
              <w:tc>
                <w:tcPr>
                  <w:tcW w:w="851" w:type="dxa"/>
                  <w:tcBorders>
                    <w:top w:val="nil"/>
                    <w:left w:val="nil"/>
                    <w:bottom w:val="nil"/>
                    <w:right w:val="nil"/>
                  </w:tcBorders>
                  <w:shd w:val="clear" w:color="auto" w:fill="auto"/>
                  <w:tcMar>
                    <w:top w:w="15" w:type="dxa"/>
                    <w:left w:w="15" w:type="dxa"/>
                    <w:bottom w:w="0" w:type="dxa"/>
                    <w:right w:w="15" w:type="dxa"/>
                  </w:tcMar>
                  <w:vAlign w:val="bottom"/>
                  <w:hideMark/>
                </w:tcPr>
                <w:p w14:paraId="364C04E7"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1.5</w:t>
                  </w:r>
                </w:p>
              </w:tc>
            </w:tr>
            <w:tr w:rsidR="00AB5969" w:rsidRPr="002D3D48" w14:paraId="5E333E89" w14:textId="77777777" w:rsidTr="00D20773">
              <w:tc>
                <w:tcPr>
                  <w:tcW w:w="2122" w:type="dxa"/>
                  <w:tcBorders>
                    <w:top w:val="nil"/>
                    <w:left w:val="nil"/>
                    <w:bottom w:val="nil"/>
                    <w:right w:val="nil"/>
                  </w:tcBorders>
                  <w:shd w:val="clear" w:color="auto" w:fill="E7E6E6"/>
                  <w:tcMar>
                    <w:top w:w="15" w:type="dxa"/>
                    <w:left w:w="15" w:type="dxa"/>
                    <w:bottom w:w="0" w:type="dxa"/>
                    <w:right w:w="15" w:type="dxa"/>
                  </w:tcMar>
                  <w:hideMark/>
                </w:tcPr>
                <w:p w14:paraId="40488A98"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Significance of incidental findings/investigation of ocular signs and symptoms</w:t>
                  </w:r>
                </w:p>
              </w:tc>
              <w:tc>
                <w:tcPr>
                  <w:tcW w:w="7087" w:type="dxa"/>
                  <w:tcBorders>
                    <w:top w:val="nil"/>
                    <w:left w:val="nil"/>
                    <w:bottom w:val="nil"/>
                    <w:right w:val="nil"/>
                  </w:tcBorders>
                  <w:shd w:val="clear" w:color="auto" w:fill="E7E6E6"/>
                  <w:tcMar>
                    <w:top w:w="15" w:type="dxa"/>
                    <w:left w:w="15" w:type="dxa"/>
                    <w:bottom w:w="0" w:type="dxa"/>
                    <w:right w:w="15" w:type="dxa"/>
                  </w:tcMar>
                  <w:vAlign w:val="bottom"/>
                  <w:hideMark/>
                </w:tcPr>
                <w:p w14:paraId="39F9B98B"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3.8 Assesses signs and symptoms found during the ocular examination that have significance for the patient's systemic health.</w:t>
                  </w:r>
                </w:p>
              </w:tc>
              <w:tc>
                <w:tcPr>
                  <w:tcW w:w="851" w:type="dxa"/>
                  <w:tcBorders>
                    <w:top w:val="nil"/>
                    <w:left w:val="nil"/>
                    <w:bottom w:val="nil"/>
                    <w:right w:val="nil"/>
                  </w:tcBorders>
                  <w:shd w:val="clear" w:color="auto" w:fill="E7E6E6"/>
                  <w:tcMar>
                    <w:top w:w="15" w:type="dxa"/>
                    <w:left w:w="15" w:type="dxa"/>
                    <w:bottom w:w="0" w:type="dxa"/>
                    <w:right w:w="15" w:type="dxa"/>
                  </w:tcMar>
                  <w:vAlign w:val="bottom"/>
                  <w:hideMark/>
                </w:tcPr>
                <w:p w14:paraId="3C4FD88C"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1.5</w:t>
                  </w:r>
                </w:p>
              </w:tc>
            </w:tr>
            <w:tr w:rsidR="00AB5969" w:rsidRPr="002D3D48" w14:paraId="7F32F12A" w14:textId="77777777" w:rsidTr="00D20773">
              <w:tc>
                <w:tcPr>
                  <w:tcW w:w="2122" w:type="dxa"/>
                  <w:tcBorders>
                    <w:top w:val="nil"/>
                    <w:left w:val="nil"/>
                    <w:bottom w:val="nil"/>
                    <w:right w:val="nil"/>
                  </w:tcBorders>
                  <w:shd w:val="clear" w:color="auto" w:fill="auto"/>
                  <w:tcMar>
                    <w:top w:w="15" w:type="dxa"/>
                    <w:left w:w="15" w:type="dxa"/>
                    <w:bottom w:w="0" w:type="dxa"/>
                    <w:right w:w="15" w:type="dxa"/>
                  </w:tcMar>
                  <w:hideMark/>
                </w:tcPr>
                <w:p w14:paraId="6EF2F924"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Contact lens aftercare including examination plan</w:t>
                  </w:r>
                </w:p>
              </w:tc>
              <w:tc>
                <w:tcPr>
                  <w:tcW w:w="7087" w:type="dxa"/>
                  <w:tcBorders>
                    <w:top w:val="nil"/>
                    <w:left w:val="nil"/>
                    <w:bottom w:val="nil"/>
                    <w:right w:val="nil"/>
                  </w:tcBorders>
                  <w:shd w:val="clear" w:color="auto" w:fill="auto"/>
                  <w:tcMar>
                    <w:top w:w="15" w:type="dxa"/>
                    <w:left w:w="15" w:type="dxa"/>
                    <w:bottom w:w="0" w:type="dxa"/>
                    <w:right w:w="15" w:type="dxa"/>
                  </w:tcMar>
                  <w:vAlign w:val="bottom"/>
                  <w:hideMark/>
                </w:tcPr>
                <w:p w14:paraId="7A4CBF14"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3.1.1 An examination plan based on the patient history is designed to obtain the information necessary for diagnosis and management.</w:t>
                  </w:r>
                  <w:r w:rsidRPr="002D3D48">
                    <w:rPr>
                      <w:rFonts w:eastAsia="Times New Roman" w:cs="Arial"/>
                      <w:sz w:val="16"/>
                      <w:szCs w:val="16"/>
                      <w:lang w:eastAsia="en-AU"/>
                    </w:rPr>
                    <w:br/>
                    <w:t>4.7.6 A contact lens prescription is written in a manner that can be interpreted for correct fabrication of the appliance.</w:t>
                  </w:r>
                </w:p>
              </w:tc>
              <w:tc>
                <w:tcPr>
                  <w:tcW w:w="851" w:type="dxa"/>
                  <w:tcBorders>
                    <w:top w:val="nil"/>
                    <w:left w:val="nil"/>
                    <w:bottom w:val="nil"/>
                    <w:right w:val="nil"/>
                  </w:tcBorders>
                  <w:shd w:val="clear" w:color="auto" w:fill="auto"/>
                  <w:tcMar>
                    <w:top w:w="15" w:type="dxa"/>
                    <w:left w:w="15" w:type="dxa"/>
                    <w:bottom w:w="0" w:type="dxa"/>
                    <w:right w:w="15" w:type="dxa"/>
                  </w:tcMar>
                  <w:vAlign w:val="bottom"/>
                  <w:hideMark/>
                </w:tcPr>
                <w:p w14:paraId="6D4B5CC5"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1</w:t>
                  </w:r>
                </w:p>
              </w:tc>
            </w:tr>
            <w:tr w:rsidR="00AB5969" w:rsidRPr="002D3D48" w14:paraId="47DDF2AC" w14:textId="77777777" w:rsidTr="00D20773">
              <w:tc>
                <w:tcPr>
                  <w:tcW w:w="2122" w:type="dxa"/>
                  <w:tcBorders>
                    <w:top w:val="nil"/>
                    <w:left w:val="nil"/>
                    <w:bottom w:val="nil"/>
                    <w:right w:val="nil"/>
                  </w:tcBorders>
                  <w:shd w:val="clear" w:color="auto" w:fill="E7E6E6"/>
                  <w:tcMar>
                    <w:top w:w="15" w:type="dxa"/>
                    <w:left w:w="15" w:type="dxa"/>
                    <w:bottom w:w="0" w:type="dxa"/>
                    <w:right w:w="15" w:type="dxa"/>
                  </w:tcMar>
                  <w:hideMark/>
                </w:tcPr>
                <w:p w14:paraId="605AE559"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Referral of the patient/choice of practitioner for referral</w:t>
                  </w:r>
                </w:p>
              </w:tc>
              <w:tc>
                <w:tcPr>
                  <w:tcW w:w="7087" w:type="dxa"/>
                  <w:tcBorders>
                    <w:top w:val="nil"/>
                    <w:left w:val="nil"/>
                    <w:bottom w:val="nil"/>
                    <w:right w:val="nil"/>
                  </w:tcBorders>
                  <w:shd w:val="clear" w:color="auto" w:fill="E7E6E6"/>
                  <w:tcMar>
                    <w:top w:w="15" w:type="dxa"/>
                    <w:left w:w="15" w:type="dxa"/>
                    <w:bottom w:w="0" w:type="dxa"/>
                    <w:right w:w="15" w:type="dxa"/>
                  </w:tcMar>
                  <w:vAlign w:val="bottom"/>
                  <w:hideMark/>
                </w:tcPr>
                <w:p w14:paraId="1A1D625F"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 xml:space="preserve">4.11.1 The need for referral to other professionals or rehabilitative services for assessment and/or treatment is </w:t>
                  </w:r>
                  <w:proofErr w:type="spellStart"/>
                  <w:r w:rsidRPr="002D3D48">
                    <w:rPr>
                      <w:rFonts w:eastAsia="Times New Roman" w:cs="Arial"/>
                      <w:sz w:val="16"/>
                      <w:szCs w:val="16"/>
                      <w:lang w:eastAsia="en-AU"/>
                    </w:rPr>
                    <w:t>recognised</w:t>
                  </w:r>
                  <w:proofErr w:type="spellEnd"/>
                  <w:r w:rsidRPr="002D3D48">
                    <w:rPr>
                      <w:rFonts w:eastAsia="Times New Roman" w:cs="Arial"/>
                      <w:sz w:val="16"/>
                      <w:szCs w:val="16"/>
                      <w:lang w:eastAsia="en-AU"/>
                    </w:rPr>
                    <w:t>, discussed with the patient and a suitable professional or service is recommended.</w:t>
                  </w:r>
                  <w:r w:rsidRPr="002D3D48">
                    <w:rPr>
                      <w:rFonts w:eastAsia="Times New Roman" w:cs="Arial"/>
                      <w:sz w:val="16"/>
                      <w:szCs w:val="16"/>
                      <w:lang w:eastAsia="en-AU"/>
                    </w:rPr>
                    <w:br/>
                    <w:t>4.11.2 Timely referral, with supporting documentation, is made to other professionals.</w:t>
                  </w:r>
                  <w:r w:rsidRPr="002D3D48">
                    <w:rPr>
                      <w:rFonts w:eastAsia="Times New Roman" w:cs="Arial"/>
                      <w:sz w:val="16"/>
                      <w:szCs w:val="16"/>
                      <w:lang w:eastAsia="en-AU"/>
                    </w:rPr>
                    <w:br/>
                    <w:t>4.13.4 Appropriate referral for further post-operative treatment or assessment of complications is arranged.</w:t>
                  </w:r>
                </w:p>
              </w:tc>
              <w:tc>
                <w:tcPr>
                  <w:tcW w:w="851" w:type="dxa"/>
                  <w:tcBorders>
                    <w:top w:val="nil"/>
                    <w:left w:val="nil"/>
                    <w:bottom w:val="nil"/>
                    <w:right w:val="nil"/>
                  </w:tcBorders>
                  <w:shd w:val="clear" w:color="auto" w:fill="E7E6E6"/>
                  <w:tcMar>
                    <w:top w:w="15" w:type="dxa"/>
                    <w:left w:w="15" w:type="dxa"/>
                    <w:bottom w:w="0" w:type="dxa"/>
                    <w:right w:w="15" w:type="dxa"/>
                  </w:tcMar>
                  <w:vAlign w:val="bottom"/>
                  <w:hideMark/>
                </w:tcPr>
                <w:p w14:paraId="7453A496"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1.5</w:t>
                  </w:r>
                </w:p>
              </w:tc>
            </w:tr>
            <w:tr w:rsidR="00AB5969" w:rsidRPr="002D3D48" w14:paraId="58199837" w14:textId="77777777" w:rsidTr="00D20773">
              <w:tc>
                <w:tcPr>
                  <w:tcW w:w="2122" w:type="dxa"/>
                  <w:tcBorders>
                    <w:top w:val="nil"/>
                    <w:left w:val="nil"/>
                    <w:bottom w:val="nil"/>
                    <w:right w:val="nil"/>
                  </w:tcBorders>
                  <w:shd w:val="clear" w:color="auto" w:fill="auto"/>
                  <w:tcMar>
                    <w:top w:w="15" w:type="dxa"/>
                    <w:left w:w="15" w:type="dxa"/>
                    <w:bottom w:w="0" w:type="dxa"/>
                    <w:right w:w="15" w:type="dxa"/>
                  </w:tcMar>
                  <w:hideMark/>
                </w:tcPr>
                <w:p w14:paraId="28B384C8"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Treatment of adnexal and anterior eye disorders</w:t>
                  </w:r>
                </w:p>
              </w:tc>
              <w:tc>
                <w:tcPr>
                  <w:tcW w:w="7087" w:type="dxa"/>
                  <w:tcBorders>
                    <w:top w:val="nil"/>
                    <w:left w:val="nil"/>
                    <w:bottom w:val="nil"/>
                    <w:right w:val="nil"/>
                  </w:tcBorders>
                  <w:shd w:val="clear" w:color="auto" w:fill="auto"/>
                  <w:tcMar>
                    <w:top w:w="15" w:type="dxa"/>
                    <w:left w:w="15" w:type="dxa"/>
                    <w:bottom w:w="0" w:type="dxa"/>
                    <w:right w:w="15" w:type="dxa"/>
                  </w:tcMar>
                  <w:vAlign w:val="bottom"/>
                  <w:hideMark/>
                </w:tcPr>
                <w:p w14:paraId="09F9AD66"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4.9.1 Pharmacological agents are selected and recommended.</w:t>
                  </w:r>
                  <w:r w:rsidRPr="002D3D48">
                    <w:rPr>
                      <w:rFonts w:eastAsia="Times New Roman" w:cs="Arial"/>
                      <w:sz w:val="16"/>
                      <w:szCs w:val="16"/>
                      <w:lang w:eastAsia="en-AU"/>
                    </w:rPr>
                    <w:br/>
                    <w:t>4.9.2 An ocular therapeutic prescription is issued in a manner that allows accurate supply of the agent.</w:t>
                  </w:r>
                </w:p>
              </w:tc>
              <w:tc>
                <w:tcPr>
                  <w:tcW w:w="851" w:type="dxa"/>
                  <w:tcBorders>
                    <w:top w:val="nil"/>
                    <w:left w:val="nil"/>
                    <w:bottom w:val="nil"/>
                    <w:right w:val="nil"/>
                  </w:tcBorders>
                  <w:shd w:val="clear" w:color="auto" w:fill="auto"/>
                  <w:tcMar>
                    <w:top w:w="15" w:type="dxa"/>
                    <w:left w:w="15" w:type="dxa"/>
                    <w:bottom w:w="0" w:type="dxa"/>
                    <w:right w:w="15" w:type="dxa"/>
                  </w:tcMar>
                  <w:vAlign w:val="bottom"/>
                  <w:hideMark/>
                </w:tcPr>
                <w:p w14:paraId="4A7DD322"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1</w:t>
                  </w:r>
                </w:p>
              </w:tc>
            </w:tr>
            <w:tr w:rsidR="00AB5969" w:rsidRPr="002D3D48" w14:paraId="5A5226E7" w14:textId="77777777" w:rsidTr="00D20773">
              <w:tc>
                <w:tcPr>
                  <w:tcW w:w="2122" w:type="dxa"/>
                  <w:tcBorders>
                    <w:top w:val="nil"/>
                    <w:left w:val="nil"/>
                    <w:bottom w:val="nil"/>
                    <w:right w:val="nil"/>
                  </w:tcBorders>
                  <w:shd w:val="clear" w:color="auto" w:fill="E7E6E6"/>
                  <w:tcMar>
                    <w:top w:w="15" w:type="dxa"/>
                    <w:left w:w="15" w:type="dxa"/>
                    <w:bottom w:w="0" w:type="dxa"/>
                    <w:right w:w="15" w:type="dxa"/>
                  </w:tcMar>
                  <w:hideMark/>
                </w:tcPr>
                <w:p w14:paraId="68F16027"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Provision of pre- and post-operative management</w:t>
                  </w:r>
                </w:p>
              </w:tc>
              <w:tc>
                <w:tcPr>
                  <w:tcW w:w="7087" w:type="dxa"/>
                  <w:tcBorders>
                    <w:top w:val="nil"/>
                    <w:left w:val="nil"/>
                    <w:bottom w:val="nil"/>
                    <w:right w:val="nil"/>
                  </w:tcBorders>
                  <w:shd w:val="clear" w:color="auto" w:fill="E7E6E6"/>
                  <w:tcMar>
                    <w:top w:w="15" w:type="dxa"/>
                    <w:left w:w="15" w:type="dxa"/>
                    <w:bottom w:w="0" w:type="dxa"/>
                    <w:right w:w="15" w:type="dxa"/>
                  </w:tcMar>
                  <w:vAlign w:val="bottom"/>
                  <w:hideMark/>
                </w:tcPr>
                <w:p w14:paraId="0F02A0C5"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1.2.1 Clinical expertise is integrated with the best available evidence, the patient's perspective and the practice context when making clinical decisions.</w:t>
                  </w:r>
                  <w:r w:rsidRPr="002D3D48">
                    <w:rPr>
                      <w:rFonts w:eastAsia="Times New Roman" w:cs="Arial"/>
                      <w:sz w:val="16"/>
                      <w:szCs w:val="16"/>
                      <w:lang w:eastAsia="en-AU"/>
                    </w:rPr>
                    <w:br/>
                    <w:t>4.13.1 Pre-operative assessment and advice are provided.</w:t>
                  </w:r>
                  <w:r w:rsidRPr="002D3D48">
                    <w:rPr>
                      <w:rFonts w:eastAsia="Times New Roman" w:cs="Arial"/>
                      <w:sz w:val="16"/>
                      <w:szCs w:val="16"/>
                      <w:lang w:eastAsia="en-AU"/>
                    </w:rPr>
                    <w:br/>
                    <w:t>4.13.2 Post-surgical follow-up assessment and monitoring of signs according to the surgeon's requirements and the procedure undertaken.</w:t>
                  </w:r>
                  <w:r w:rsidRPr="002D3D48">
                    <w:rPr>
                      <w:rFonts w:eastAsia="Times New Roman" w:cs="Arial"/>
                      <w:sz w:val="16"/>
                      <w:szCs w:val="16"/>
                      <w:lang w:eastAsia="en-AU"/>
                    </w:rPr>
                    <w:br/>
                    <w:t>4.13.3 Emergency management for observed post-surgical complication is provided.</w:t>
                  </w:r>
                </w:p>
              </w:tc>
              <w:tc>
                <w:tcPr>
                  <w:tcW w:w="851" w:type="dxa"/>
                  <w:tcBorders>
                    <w:top w:val="nil"/>
                    <w:left w:val="nil"/>
                    <w:bottom w:val="nil"/>
                    <w:right w:val="nil"/>
                  </w:tcBorders>
                  <w:shd w:val="clear" w:color="auto" w:fill="E7E6E6"/>
                  <w:tcMar>
                    <w:top w:w="15" w:type="dxa"/>
                    <w:left w:w="15" w:type="dxa"/>
                    <w:bottom w:w="0" w:type="dxa"/>
                    <w:right w:w="15" w:type="dxa"/>
                  </w:tcMar>
                  <w:vAlign w:val="bottom"/>
                  <w:hideMark/>
                </w:tcPr>
                <w:p w14:paraId="72DE6EEB"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0.5</w:t>
                  </w:r>
                </w:p>
              </w:tc>
            </w:tr>
            <w:tr w:rsidR="00AB5969" w:rsidRPr="002D3D48" w14:paraId="6A4F6959" w14:textId="77777777" w:rsidTr="00D20773">
              <w:tc>
                <w:tcPr>
                  <w:tcW w:w="2122" w:type="dxa"/>
                  <w:tcBorders>
                    <w:top w:val="nil"/>
                    <w:left w:val="nil"/>
                    <w:bottom w:val="nil"/>
                    <w:right w:val="nil"/>
                  </w:tcBorders>
                  <w:shd w:val="clear" w:color="auto" w:fill="auto"/>
                  <w:tcMar>
                    <w:top w:w="15" w:type="dxa"/>
                    <w:left w:w="15" w:type="dxa"/>
                    <w:bottom w:w="0" w:type="dxa"/>
                    <w:right w:w="15" w:type="dxa"/>
                  </w:tcMar>
                  <w:hideMark/>
                </w:tcPr>
                <w:p w14:paraId="1CAB5DBD"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Advice on vision in the workplace</w:t>
                  </w:r>
                </w:p>
              </w:tc>
              <w:tc>
                <w:tcPr>
                  <w:tcW w:w="7087" w:type="dxa"/>
                  <w:tcBorders>
                    <w:top w:val="nil"/>
                    <w:left w:val="nil"/>
                    <w:bottom w:val="nil"/>
                    <w:right w:val="nil"/>
                  </w:tcBorders>
                  <w:shd w:val="clear" w:color="auto" w:fill="auto"/>
                  <w:tcMar>
                    <w:top w:w="15" w:type="dxa"/>
                    <w:left w:w="15" w:type="dxa"/>
                    <w:bottom w:w="0" w:type="dxa"/>
                    <w:right w:w="15" w:type="dxa"/>
                  </w:tcMar>
                  <w:vAlign w:val="bottom"/>
                  <w:hideMark/>
                </w:tcPr>
                <w:p w14:paraId="7537CBC3"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4.14.3 Individuals are counselled on the suitability of their vision for certain occupations.</w:t>
                  </w:r>
                  <w:r w:rsidRPr="002D3D48">
                    <w:rPr>
                      <w:rFonts w:eastAsia="Times New Roman" w:cs="Arial"/>
                      <w:sz w:val="16"/>
                      <w:szCs w:val="16"/>
                      <w:lang w:eastAsia="en-AU"/>
                    </w:rPr>
                    <w:br/>
                    <w:t>4.14.4 Certification of an individual's visual suitability for designated occupations or tasks is provided.</w:t>
                  </w:r>
                </w:p>
              </w:tc>
              <w:tc>
                <w:tcPr>
                  <w:tcW w:w="851" w:type="dxa"/>
                  <w:tcBorders>
                    <w:top w:val="nil"/>
                    <w:left w:val="nil"/>
                    <w:bottom w:val="nil"/>
                    <w:right w:val="nil"/>
                  </w:tcBorders>
                  <w:shd w:val="clear" w:color="auto" w:fill="auto"/>
                  <w:tcMar>
                    <w:top w:w="15" w:type="dxa"/>
                    <w:left w:w="15" w:type="dxa"/>
                    <w:bottom w:w="0" w:type="dxa"/>
                    <w:right w:w="15" w:type="dxa"/>
                  </w:tcMar>
                  <w:vAlign w:val="bottom"/>
                  <w:hideMark/>
                </w:tcPr>
                <w:p w14:paraId="7890E934"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0.5</w:t>
                  </w:r>
                </w:p>
              </w:tc>
            </w:tr>
            <w:tr w:rsidR="00AB5969" w:rsidRPr="002D3D48" w14:paraId="5F091348" w14:textId="77777777" w:rsidTr="00D20773">
              <w:tc>
                <w:tcPr>
                  <w:tcW w:w="2122" w:type="dxa"/>
                  <w:tcBorders>
                    <w:top w:val="nil"/>
                    <w:left w:val="nil"/>
                    <w:bottom w:val="nil"/>
                    <w:right w:val="nil"/>
                  </w:tcBorders>
                  <w:shd w:val="clear" w:color="auto" w:fill="E7E6E6"/>
                  <w:tcMar>
                    <w:top w:w="15" w:type="dxa"/>
                    <w:left w:w="15" w:type="dxa"/>
                    <w:bottom w:w="0" w:type="dxa"/>
                    <w:right w:w="15" w:type="dxa"/>
                  </w:tcMar>
                  <w:hideMark/>
                </w:tcPr>
                <w:p w14:paraId="0389661C"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lastRenderedPageBreak/>
                    <w:t>Emergency care and eye health promotion</w:t>
                  </w:r>
                </w:p>
              </w:tc>
              <w:tc>
                <w:tcPr>
                  <w:tcW w:w="7087" w:type="dxa"/>
                  <w:tcBorders>
                    <w:top w:val="nil"/>
                    <w:left w:val="nil"/>
                    <w:bottom w:val="nil"/>
                    <w:right w:val="nil"/>
                  </w:tcBorders>
                  <w:shd w:val="clear" w:color="auto" w:fill="E7E6E6"/>
                  <w:tcMar>
                    <w:top w:w="15" w:type="dxa"/>
                    <w:left w:w="15" w:type="dxa"/>
                    <w:bottom w:w="0" w:type="dxa"/>
                    <w:right w:w="15" w:type="dxa"/>
                  </w:tcMar>
                  <w:vAlign w:val="bottom"/>
                  <w:hideMark/>
                </w:tcPr>
                <w:p w14:paraId="491EED6E"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sz w:val="16"/>
                      <w:szCs w:val="16"/>
                      <w:lang w:eastAsia="en-AU"/>
                    </w:rPr>
                    <w:t>1.10 Provides or directs patients to emergency care.</w:t>
                  </w:r>
                  <w:r w:rsidRPr="002D3D48">
                    <w:rPr>
                      <w:rFonts w:eastAsia="Times New Roman" w:cs="Arial"/>
                      <w:sz w:val="16"/>
                      <w:szCs w:val="16"/>
                      <w:lang w:eastAsia="en-AU"/>
                    </w:rPr>
                    <w:br/>
                    <w:t>1.11.2 Advice is provided on eye protection for occupational and home-based activities and for recreational pursuits.</w:t>
                  </w:r>
                </w:p>
              </w:tc>
              <w:tc>
                <w:tcPr>
                  <w:tcW w:w="851" w:type="dxa"/>
                  <w:tcBorders>
                    <w:top w:val="nil"/>
                    <w:left w:val="nil"/>
                    <w:bottom w:val="nil"/>
                    <w:right w:val="nil"/>
                  </w:tcBorders>
                  <w:shd w:val="clear" w:color="auto" w:fill="E7E6E6"/>
                  <w:tcMar>
                    <w:top w:w="15" w:type="dxa"/>
                    <w:left w:w="15" w:type="dxa"/>
                    <w:bottom w:w="0" w:type="dxa"/>
                    <w:right w:w="15" w:type="dxa"/>
                  </w:tcMar>
                  <w:vAlign w:val="bottom"/>
                  <w:hideMark/>
                </w:tcPr>
                <w:p w14:paraId="428763B6"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sz w:val="16"/>
                      <w:szCs w:val="16"/>
                      <w:lang w:eastAsia="en-AU"/>
                    </w:rPr>
                    <w:t>1</w:t>
                  </w:r>
                </w:p>
              </w:tc>
            </w:tr>
            <w:tr w:rsidR="00AB5969" w:rsidRPr="002D3D48" w14:paraId="6B5366B6" w14:textId="77777777" w:rsidTr="00D20773">
              <w:tc>
                <w:tcPr>
                  <w:tcW w:w="2122" w:type="dxa"/>
                  <w:tcBorders>
                    <w:top w:val="nil"/>
                    <w:left w:val="nil"/>
                    <w:bottom w:val="nil"/>
                    <w:right w:val="nil"/>
                  </w:tcBorders>
                  <w:shd w:val="clear" w:color="auto" w:fill="auto"/>
                  <w:tcMar>
                    <w:top w:w="15" w:type="dxa"/>
                    <w:left w:w="15" w:type="dxa"/>
                    <w:bottom w:w="0" w:type="dxa"/>
                    <w:right w:w="15" w:type="dxa"/>
                  </w:tcMar>
                  <w:vAlign w:val="bottom"/>
                  <w:hideMark/>
                </w:tcPr>
                <w:p w14:paraId="7A35AD02" w14:textId="77777777" w:rsidR="00AB5969" w:rsidRPr="002D3D48" w:rsidRDefault="00AB5969" w:rsidP="00D20773">
                  <w:pPr>
                    <w:spacing w:after="0" w:line="240" w:lineRule="auto"/>
                    <w:textAlignment w:val="bottom"/>
                    <w:rPr>
                      <w:rFonts w:eastAsia="Times New Roman" w:cs="Arial"/>
                      <w:sz w:val="16"/>
                      <w:szCs w:val="16"/>
                      <w:lang w:eastAsia="en-AU"/>
                    </w:rPr>
                  </w:pPr>
                </w:p>
              </w:tc>
              <w:tc>
                <w:tcPr>
                  <w:tcW w:w="7087" w:type="dxa"/>
                  <w:tcBorders>
                    <w:top w:val="nil"/>
                    <w:left w:val="nil"/>
                    <w:bottom w:val="nil"/>
                    <w:right w:val="nil"/>
                  </w:tcBorders>
                  <w:shd w:val="clear" w:color="auto" w:fill="auto"/>
                  <w:tcMar>
                    <w:top w:w="15" w:type="dxa"/>
                    <w:left w:w="15" w:type="dxa"/>
                    <w:bottom w:w="0" w:type="dxa"/>
                    <w:right w:w="15" w:type="dxa"/>
                  </w:tcMar>
                  <w:vAlign w:val="bottom"/>
                  <w:hideMark/>
                </w:tcPr>
                <w:p w14:paraId="783B2F97" w14:textId="77777777" w:rsidR="00AB5969" w:rsidRPr="002D3D48" w:rsidRDefault="00AB5969" w:rsidP="00D20773">
                  <w:pPr>
                    <w:spacing w:after="0" w:line="240" w:lineRule="auto"/>
                    <w:textAlignment w:val="bottom"/>
                    <w:rPr>
                      <w:rFonts w:eastAsia="Times New Roman" w:cs="Arial"/>
                      <w:sz w:val="16"/>
                      <w:szCs w:val="16"/>
                      <w:lang w:eastAsia="en-AU"/>
                    </w:rPr>
                  </w:pPr>
                  <w:r w:rsidRPr="002D3D48">
                    <w:rPr>
                      <w:rFonts w:eastAsia="Times New Roman" w:cs="Arial"/>
                      <w:b/>
                      <w:bCs/>
                      <w:sz w:val="16"/>
                      <w:szCs w:val="16"/>
                      <w:lang w:eastAsia="en-AU"/>
                    </w:rPr>
                    <w:t>Total Number of Questions:</w:t>
                  </w:r>
                </w:p>
              </w:tc>
              <w:tc>
                <w:tcPr>
                  <w:tcW w:w="851" w:type="dxa"/>
                  <w:tcBorders>
                    <w:top w:val="nil"/>
                    <w:left w:val="nil"/>
                    <w:bottom w:val="nil"/>
                    <w:right w:val="nil"/>
                  </w:tcBorders>
                  <w:shd w:val="clear" w:color="auto" w:fill="auto"/>
                  <w:tcMar>
                    <w:top w:w="15" w:type="dxa"/>
                    <w:left w:w="15" w:type="dxa"/>
                    <w:bottom w:w="0" w:type="dxa"/>
                    <w:right w:w="15" w:type="dxa"/>
                  </w:tcMar>
                  <w:vAlign w:val="bottom"/>
                  <w:hideMark/>
                </w:tcPr>
                <w:p w14:paraId="119DBC74" w14:textId="77777777" w:rsidR="00AB5969" w:rsidRPr="002D3D48" w:rsidRDefault="00AB5969" w:rsidP="00D20773">
                  <w:pPr>
                    <w:spacing w:after="0" w:line="240" w:lineRule="auto"/>
                    <w:jc w:val="right"/>
                    <w:textAlignment w:val="bottom"/>
                    <w:rPr>
                      <w:rFonts w:eastAsia="Times New Roman" w:cs="Arial"/>
                      <w:sz w:val="16"/>
                      <w:szCs w:val="16"/>
                      <w:lang w:eastAsia="en-AU"/>
                    </w:rPr>
                  </w:pPr>
                  <w:r w:rsidRPr="002D3D48">
                    <w:rPr>
                      <w:rFonts w:eastAsia="Times New Roman" w:cs="Arial"/>
                      <w:b/>
                      <w:bCs/>
                      <w:sz w:val="16"/>
                      <w:szCs w:val="16"/>
                      <w:lang w:eastAsia="en-AU"/>
                    </w:rPr>
                    <w:t>18</w:t>
                  </w:r>
                </w:p>
              </w:tc>
            </w:tr>
          </w:tbl>
          <w:p w14:paraId="79983346"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p>
        </w:tc>
        <w:tc>
          <w:tcPr>
            <w:tcW w:w="16" w:type="dxa"/>
            <w:tcBorders>
              <w:top w:val="nil"/>
              <w:left w:val="nil"/>
              <w:bottom w:val="nil"/>
              <w:right w:val="nil"/>
            </w:tcBorders>
            <w:shd w:val="clear" w:color="auto" w:fill="auto"/>
            <w:tcMar>
              <w:top w:w="5" w:type="dxa"/>
              <w:left w:w="5" w:type="dxa"/>
              <w:bottom w:w="0" w:type="dxa"/>
              <w:right w:w="5" w:type="dxa"/>
            </w:tcMar>
            <w:vAlign w:val="bottom"/>
          </w:tcPr>
          <w:p w14:paraId="5EF3F8A4"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p>
        </w:tc>
        <w:tc>
          <w:tcPr>
            <w:tcW w:w="16" w:type="dxa"/>
            <w:tcBorders>
              <w:top w:val="nil"/>
              <w:left w:val="nil"/>
              <w:bottom w:val="nil"/>
              <w:right w:val="nil"/>
            </w:tcBorders>
            <w:shd w:val="clear" w:color="auto" w:fill="auto"/>
            <w:tcMar>
              <w:top w:w="5" w:type="dxa"/>
              <w:left w:w="5" w:type="dxa"/>
              <w:bottom w:w="0" w:type="dxa"/>
              <w:right w:w="5" w:type="dxa"/>
            </w:tcMar>
            <w:vAlign w:val="bottom"/>
          </w:tcPr>
          <w:p w14:paraId="5096A14A" w14:textId="77777777" w:rsidR="00AB5969" w:rsidRPr="002A34AC" w:rsidRDefault="00AB5969" w:rsidP="00D20773">
            <w:pPr>
              <w:spacing w:after="0" w:line="240" w:lineRule="auto"/>
              <w:textAlignment w:val="bottom"/>
              <w:rPr>
                <w:rFonts w:ascii="Arial" w:eastAsia="Times New Roman" w:hAnsi="Arial" w:cs="Arial"/>
                <w:sz w:val="18"/>
                <w:szCs w:val="18"/>
                <w:lang w:eastAsia="en-AU"/>
              </w:rPr>
            </w:pPr>
          </w:p>
        </w:tc>
      </w:tr>
    </w:tbl>
    <w:p w14:paraId="1CAA2C37" w14:textId="77777777" w:rsidR="00AB5969" w:rsidRDefault="00AB5969" w:rsidP="00D20773">
      <w:pPr>
        <w:sectPr w:rsidR="00AB5969" w:rsidSect="00D20773">
          <w:type w:val="continuous"/>
          <w:pgSz w:w="11906" w:h="16838"/>
          <w:pgMar w:top="851" w:right="1440" w:bottom="709" w:left="1440" w:header="708" w:footer="708" w:gutter="0"/>
          <w:cols w:space="708"/>
          <w:docGrid w:linePitch="360"/>
        </w:sectPr>
      </w:pPr>
    </w:p>
    <w:p w14:paraId="476EFA1E" w14:textId="77777777" w:rsidR="00AB5969" w:rsidRDefault="00AB5969" w:rsidP="00D20773">
      <w:r w:rsidRPr="008D721B">
        <w:rPr>
          <w:b/>
        </w:rPr>
        <w:t>Appendix 2.</w:t>
      </w:r>
      <w:r>
        <w:t xml:space="preserve"> Table showing the Optometry Australia Entry-level Competency Standards for Optometry 2014 (modified from reference </w:t>
      </w:r>
      <w:r>
        <w:rPr>
          <w:noProof/>
        </w:rPr>
        <w:t>[7]</w:t>
      </w:r>
      <w:r>
        <w:t xml:space="preserve">) that are examined in the 18 question Diagnosis and Management SAQ examination that forms the second part of the OCANZ Competence in Optometry Examination. </w:t>
      </w:r>
      <w:r w:rsidRPr="006A05A6">
        <w:rPr>
          <w:b/>
        </w:rPr>
        <w:t>†</w:t>
      </w:r>
      <w:r>
        <w:t>The approximate number of questions from each assessed competency that are included in a typical examination.</w:t>
      </w:r>
    </w:p>
    <w:p w14:paraId="077E3D53" w14:textId="77777777" w:rsidR="00AB5969" w:rsidRDefault="00AB5969" w:rsidP="00D20773"/>
    <w:p w14:paraId="11034643" w14:textId="77777777" w:rsidR="00AB5969" w:rsidRDefault="00AB5969">
      <w:r>
        <w:br w:type="page"/>
      </w:r>
    </w:p>
    <w:p w14:paraId="45AB3927" w14:textId="77777777" w:rsidR="00AB5969" w:rsidRDefault="00AB5969" w:rsidP="00D20773">
      <w:pPr>
        <w:rPr>
          <w:rFonts w:cstheme="minorHAnsi"/>
        </w:rPr>
      </w:pPr>
      <w:r w:rsidRPr="00D82BA0">
        <w:rPr>
          <w:b/>
          <w:bCs/>
        </w:rPr>
        <w:lastRenderedPageBreak/>
        <w:t>Appendix 3</w:t>
      </w:r>
      <w:r w:rsidRPr="003D53B8">
        <w:rPr>
          <w:rFonts w:cstheme="minorHAnsi"/>
        </w:rPr>
        <w:t xml:space="preserve"> </w:t>
      </w:r>
    </w:p>
    <w:p w14:paraId="54BC6B94" w14:textId="77777777" w:rsidR="00AB5969" w:rsidRPr="003D53B8" w:rsidRDefault="00AB5969" w:rsidP="00D20773"/>
    <w:p w14:paraId="5B77E182" w14:textId="77777777" w:rsidR="00AB5969" w:rsidRDefault="00AB5969" w:rsidP="00D20773">
      <w:pPr>
        <w:spacing w:after="0" w:line="480" w:lineRule="auto"/>
        <w:contextualSpacing/>
        <w:rPr>
          <w:rFonts w:cstheme="minorHAnsi"/>
        </w:rPr>
      </w:pPr>
      <w:r>
        <w:rPr>
          <w:rFonts w:cstheme="minorHAnsi"/>
          <w:i/>
        </w:rPr>
        <w:t>Candidate Results and Demographic Data</w:t>
      </w:r>
    </w:p>
    <w:p w14:paraId="211322C7" w14:textId="77777777" w:rsidR="00AB5969" w:rsidRDefault="00AB5969" w:rsidP="00D20773">
      <w:pPr>
        <w:pStyle w:val="ListParagraph"/>
        <w:spacing w:after="240" w:line="480" w:lineRule="auto"/>
        <w:ind w:left="0"/>
        <w:rPr>
          <w:rFonts w:cstheme="minorHAnsi"/>
        </w:rPr>
      </w:pPr>
      <w:r>
        <w:rPr>
          <w:rFonts w:cstheme="minorHAnsi"/>
        </w:rPr>
        <w:t xml:space="preserve">There were 193 candidates who sat at least one component of the exam between 2014 and 2019, with 272 total administrations over the six years </w:t>
      </w:r>
      <w:proofErr w:type="gramStart"/>
      <w:r>
        <w:rPr>
          <w:rFonts w:cstheme="minorHAnsi"/>
        </w:rPr>
        <w:t>as a result of</w:t>
      </w:r>
      <w:proofErr w:type="gramEnd"/>
      <w:r>
        <w:rPr>
          <w:rFonts w:cstheme="minorHAnsi"/>
        </w:rPr>
        <w:t xml:space="preserve"> some candidates sitting multiple times. The demographic data for the most recent attempt at the COE for the 193 candidates is found in Appendix 3 </w:t>
      </w:r>
      <w:r w:rsidRPr="00BC3873">
        <w:rPr>
          <w:rFonts w:cstheme="minorHAnsi"/>
        </w:rPr>
        <w:t>Table 1</w:t>
      </w:r>
      <w:r>
        <w:rPr>
          <w:rFonts w:cstheme="minorHAnsi"/>
        </w:rPr>
        <w:t xml:space="preserve">. There were 133 candidates (68.9%) who passed both the MCQ and SAQ components of the COE and moved on to the practical component across the six-year period </w:t>
      </w:r>
      <w:proofErr w:type="spellStart"/>
      <w:r>
        <w:rPr>
          <w:rFonts w:cstheme="minorHAnsi"/>
        </w:rPr>
        <w:t>analysed</w:t>
      </w:r>
      <w:proofErr w:type="spellEnd"/>
      <w:r>
        <w:rPr>
          <w:rFonts w:cstheme="minorHAnsi"/>
        </w:rPr>
        <w:t>. Ninety-one candidates (47.2%) passed both the MCQ and SAQ exams on their first attempt. The average number of attempts needed by the other 42 candidates, who did not pass on their first attempt, was 2.40 (range: 2 to 5 attempts). There were 60 candidates (31.1%) who failed their most recent attempt at the written component of the COE: 31 (16.1%) failed both the MCQ and the SAQ; 15 (7.8%) failed o</w:t>
      </w:r>
      <w:proofErr w:type="spellStart"/>
      <w:r w:rsidRPr="005A7BEA">
        <w:rPr>
          <w:lang w:val="en-AU"/>
        </w:rPr>
        <w:t>nly</w:t>
      </w:r>
      <w:proofErr w:type="spellEnd"/>
      <w:r w:rsidRPr="005A7BEA">
        <w:rPr>
          <w:lang w:val="en-AU"/>
        </w:rPr>
        <w:t xml:space="preserve"> the MCQ exam; 14 (7.3%) failed only the SAQ exam. Out of the 60 fails, 29 candidates (15.0%) were sitting the exam for the first time. The average number of attempts undertaken by the other 31 candidates who failed, and were repeating one or more component of the written exam, was 2.65 (range: 2 to 5 attempts).</w:t>
      </w:r>
      <w:r w:rsidRPr="00011CA5">
        <w:rPr>
          <w:rFonts w:cstheme="minorHAnsi"/>
        </w:rPr>
        <w:t xml:space="preserve"> </w:t>
      </w:r>
    </w:p>
    <w:p w14:paraId="7629EB01" w14:textId="77777777" w:rsidR="00AB5969" w:rsidRDefault="00AB5969" w:rsidP="00D20773">
      <w:pPr>
        <w:pStyle w:val="ListParagraph"/>
        <w:spacing w:after="240" w:line="480" w:lineRule="auto"/>
        <w:ind w:left="0"/>
        <w:rPr>
          <w:lang w:val="en-AU"/>
        </w:rPr>
        <w:sectPr w:rsidR="00AB5969" w:rsidSect="00D20773">
          <w:type w:val="continuous"/>
          <w:pgSz w:w="11906" w:h="16838" w:code="9"/>
          <w:pgMar w:top="1440" w:right="1440" w:bottom="1440" w:left="1440" w:header="720" w:footer="720" w:gutter="0"/>
          <w:cols w:space="720"/>
          <w:docGrid w:linePitch="360"/>
        </w:sectPr>
      </w:pPr>
    </w:p>
    <w:p w14:paraId="412986D7" w14:textId="77777777" w:rsidR="00AB5969" w:rsidRPr="00BD0B65" w:rsidRDefault="00AB5969" w:rsidP="00D20773">
      <w:pPr>
        <w:rPr>
          <w:rFonts w:cstheme="minorHAnsi"/>
        </w:rPr>
      </w:pPr>
      <w:r>
        <w:rPr>
          <w:rFonts w:cstheme="minorHAnsi"/>
          <w:b/>
        </w:rPr>
        <w:lastRenderedPageBreak/>
        <w:t xml:space="preserve">Appendix 3 </w:t>
      </w:r>
      <w:r w:rsidRPr="00BD0B65">
        <w:rPr>
          <w:rFonts w:cstheme="minorHAnsi"/>
          <w:b/>
        </w:rPr>
        <w:t xml:space="preserve">Table </w:t>
      </w:r>
      <w:r>
        <w:rPr>
          <w:rFonts w:cstheme="minorHAnsi"/>
          <w:b/>
        </w:rPr>
        <w:t xml:space="preserve">1. </w:t>
      </w:r>
      <w:r>
        <w:rPr>
          <w:rFonts w:cstheme="minorHAnsi"/>
        </w:rPr>
        <w:t>Demographics, pass/fail rates, and number of attempts for candidates by the region in which they undertook their training</w:t>
      </w:r>
    </w:p>
    <w:tbl>
      <w:tblPr>
        <w:tblW w:w="14601" w:type="dxa"/>
        <w:tblInd w:w="-284" w:type="dxa"/>
        <w:tblCellMar>
          <w:left w:w="0" w:type="dxa"/>
          <w:right w:w="0" w:type="dxa"/>
        </w:tblCellMar>
        <w:tblLook w:val="04A0" w:firstRow="1" w:lastRow="0" w:firstColumn="1" w:lastColumn="0" w:noHBand="0" w:noVBand="1"/>
      </w:tblPr>
      <w:tblGrid>
        <w:gridCol w:w="1814"/>
        <w:gridCol w:w="1305"/>
        <w:gridCol w:w="1276"/>
        <w:gridCol w:w="1421"/>
        <w:gridCol w:w="1421"/>
        <w:gridCol w:w="1420"/>
        <w:gridCol w:w="1148"/>
        <w:gridCol w:w="1134"/>
        <w:gridCol w:w="1701"/>
        <w:gridCol w:w="1961"/>
      </w:tblGrid>
      <w:tr w:rsidR="00AB5969" w:rsidRPr="000E3393" w14:paraId="38FECA97" w14:textId="77777777" w:rsidTr="00D20773">
        <w:trPr>
          <w:trHeight w:val="680"/>
        </w:trPr>
        <w:tc>
          <w:tcPr>
            <w:tcW w:w="1814"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7126BB25" w14:textId="77777777" w:rsidR="00AB5969" w:rsidRPr="00E11B36" w:rsidRDefault="00AB5969" w:rsidP="00D20773">
            <w:pPr>
              <w:rPr>
                <w:vertAlign w:val="superscript"/>
              </w:rPr>
            </w:pPr>
            <w:r>
              <w:rPr>
                <w:b/>
                <w:bCs/>
              </w:rPr>
              <w:t xml:space="preserve">Region of </w:t>
            </w:r>
            <w:proofErr w:type="spellStart"/>
            <w:r>
              <w:rPr>
                <w:b/>
                <w:bCs/>
              </w:rPr>
              <w:t>Training</w:t>
            </w:r>
            <w:r w:rsidRPr="00E11B36">
              <w:rPr>
                <w:b/>
                <w:bCs/>
                <w:sz w:val="24"/>
                <w:szCs w:val="24"/>
                <w:vertAlign w:val="superscript"/>
              </w:rPr>
              <w:t>a</w:t>
            </w:r>
            <w:proofErr w:type="spellEnd"/>
          </w:p>
        </w:tc>
        <w:tc>
          <w:tcPr>
            <w:tcW w:w="1305"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75E680DC" w14:textId="77777777" w:rsidR="00AB5969" w:rsidRPr="000E3393" w:rsidRDefault="00AB5969" w:rsidP="00D20773">
            <w:pPr>
              <w:jc w:val="center"/>
            </w:pPr>
            <w:r>
              <w:rPr>
                <w:b/>
                <w:bCs/>
              </w:rPr>
              <w:t>No. of Candidates (% of Total)</w:t>
            </w:r>
          </w:p>
        </w:tc>
        <w:tc>
          <w:tcPr>
            <w:tcW w:w="1276"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26EA7308" w14:textId="77777777" w:rsidR="00AB5969" w:rsidRPr="00E11B36" w:rsidRDefault="00AB5969" w:rsidP="00D20773">
            <w:pPr>
              <w:jc w:val="center"/>
            </w:pPr>
            <w:r>
              <w:rPr>
                <w:b/>
                <w:bCs/>
              </w:rPr>
              <w:t>No. of Passes (%</w:t>
            </w:r>
            <w:r w:rsidRPr="00E11B36">
              <w:rPr>
                <w:b/>
                <w:bCs/>
                <w:sz w:val="24"/>
                <w:szCs w:val="24"/>
                <w:vertAlign w:val="superscript"/>
              </w:rPr>
              <w:t>b</w:t>
            </w:r>
            <w:r>
              <w:rPr>
                <w:b/>
                <w:bCs/>
              </w:rPr>
              <w:t>)</w:t>
            </w:r>
          </w:p>
        </w:tc>
        <w:tc>
          <w:tcPr>
            <w:tcW w:w="1421"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0B4BBE2B" w14:textId="77777777" w:rsidR="00AB5969" w:rsidRPr="000E3393" w:rsidRDefault="00AB5969" w:rsidP="00D20773">
            <w:pPr>
              <w:jc w:val="center"/>
            </w:pPr>
            <w:r>
              <w:rPr>
                <w:b/>
                <w:bCs/>
              </w:rPr>
              <w:t>No. of Passes on First Attempt (%</w:t>
            </w:r>
            <w:r w:rsidRPr="00E11B36">
              <w:rPr>
                <w:b/>
                <w:bCs/>
                <w:sz w:val="24"/>
                <w:szCs w:val="24"/>
                <w:vertAlign w:val="superscript"/>
              </w:rPr>
              <w:t>b</w:t>
            </w:r>
            <w:r>
              <w:rPr>
                <w:b/>
                <w:bCs/>
              </w:rPr>
              <w:t>)</w:t>
            </w:r>
          </w:p>
        </w:tc>
        <w:tc>
          <w:tcPr>
            <w:tcW w:w="1421"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73CB3D4D" w14:textId="77777777" w:rsidR="00AB5969" w:rsidRPr="000E3393" w:rsidRDefault="00AB5969" w:rsidP="00D20773">
            <w:pPr>
              <w:jc w:val="center"/>
            </w:pPr>
            <w:r>
              <w:rPr>
                <w:b/>
                <w:bCs/>
              </w:rPr>
              <w:t>Average No. of Attempts to Pass (Range)</w:t>
            </w:r>
          </w:p>
        </w:tc>
        <w:tc>
          <w:tcPr>
            <w:tcW w:w="1420"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56FBB054" w14:textId="77777777" w:rsidR="00AB5969" w:rsidRPr="000E3393" w:rsidRDefault="00AB5969" w:rsidP="00D20773">
            <w:pPr>
              <w:jc w:val="center"/>
            </w:pPr>
            <w:r>
              <w:rPr>
                <w:b/>
                <w:bCs/>
              </w:rPr>
              <w:t>No. Failed both MCQ and SAQ (%</w:t>
            </w:r>
            <w:r w:rsidRPr="00E11B36">
              <w:rPr>
                <w:b/>
                <w:bCs/>
                <w:sz w:val="24"/>
                <w:szCs w:val="24"/>
                <w:vertAlign w:val="superscript"/>
              </w:rPr>
              <w:t>b</w:t>
            </w:r>
            <w:r>
              <w:rPr>
                <w:b/>
                <w:bCs/>
              </w:rPr>
              <w:t>)</w:t>
            </w:r>
          </w:p>
        </w:tc>
        <w:tc>
          <w:tcPr>
            <w:tcW w:w="1148"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10A85C03" w14:textId="77777777" w:rsidR="00AB5969" w:rsidRPr="000E3393" w:rsidRDefault="00AB5969" w:rsidP="00D20773">
            <w:pPr>
              <w:jc w:val="center"/>
            </w:pPr>
            <w:r>
              <w:rPr>
                <w:b/>
                <w:bCs/>
              </w:rPr>
              <w:t>No. Failed MCQ Only (%</w:t>
            </w:r>
            <w:r w:rsidRPr="00E11B36">
              <w:rPr>
                <w:b/>
                <w:bCs/>
                <w:sz w:val="24"/>
                <w:szCs w:val="24"/>
                <w:vertAlign w:val="superscript"/>
              </w:rPr>
              <w:t>b</w:t>
            </w:r>
            <w:r>
              <w:rPr>
                <w:b/>
                <w:bCs/>
              </w:rPr>
              <w:t>)</w:t>
            </w:r>
          </w:p>
        </w:tc>
        <w:tc>
          <w:tcPr>
            <w:tcW w:w="1134"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25DE9C3C" w14:textId="77777777" w:rsidR="00AB5969" w:rsidRPr="000E3393" w:rsidRDefault="00AB5969" w:rsidP="00D20773">
            <w:pPr>
              <w:jc w:val="center"/>
            </w:pPr>
            <w:r>
              <w:rPr>
                <w:b/>
                <w:bCs/>
              </w:rPr>
              <w:t>No. Failed SAQ Only (%</w:t>
            </w:r>
            <w:r w:rsidRPr="00E11B36">
              <w:rPr>
                <w:b/>
                <w:bCs/>
                <w:sz w:val="24"/>
                <w:szCs w:val="24"/>
                <w:vertAlign w:val="superscript"/>
              </w:rPr>
              <w:t>b</w:t>
            </w:r>
            <w:r>
              <w:rPr>
                <w:b/>
                <w:bCs/>
              </w:rPr>
              <w:t>)</w:t>
            </w:r>
          </w:p>
        </w:tc>
        <w:tc>
          <w:tcPr>
            <w:tcW w:w="1701"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681C65AA" w14:textId="77777777" w:rsidR="00AB5969" w:rsidRPr="000E3393" w:rsidRDefault="00AB5969" w:rsidP="00D20773">
            <w:pPr>
              <w:jc w:val="center"/>
            </w:pPr>
            <w:r>
              <w:rPr>
                <w:b/>
                <w:bCs/>
              </w:rPr>
              <w:t xml:space="preserve">No. Failed First Attempt (Yet to </w:t>
            </w:r>
            <w:proofErr w:type="spellStart"/>
            <w:r>
              <w:rPr>
                <w:b/>
                <w:bCs/>
              </w:rPr>
              <w:t>Resit</w:t>
            </w:r>
            <w:proofErr w:type="spellEnd"/>
            <w:r>
              <w:rPr>
                <w:b/>
                <w:bCs/>
              </w:rPr>
              <w:t>) (%</w:t>
            </w:r>
            <w:r w:rsidRPr="00E11B36">
              <w:rPr>
                <w:b/>
                <w:bCs/>
                <w:sz w:val="24"/>
                <w:szCs w:val="24"/>
                <w:vertAlign w:val="superscript"/>
              </w:rPr>
              <w:t>b</w:t>
            </w:r>
            <w:r>
              <w:rPr>
                <w:b/>
                <w:bCs/>
              </w:rPr>
              <w:t>)</w:t>
            </w:r>
          </w:p>
        </w:tc>
        <w:tc>
          <w:tcPr>
            <w:tcW w:w="1961" w:type="dxa"/>
            <w:tcBorders>
              <w:top w:val="single" w:sz="24" w:space="0" w:color="000000"/>
              <w:left w:val="nil"/>
              <w:bottom w:val="single" w:sz="12" w:space="0" w:color="000000"/>
              <w:right w:val="nil"/>
            </w:tcBorders>
            <w:shd w:val="clear" w:color="auto" w:fill="auto"/>
            <w:tcMar>
              <w:top w:w="15" w:type="dxa"/>
              <w:left w:w="104" w:type="dxa"/>
              <w:bottom w:w="0" w:type="dxa"/>
              <w:right w:w="104" w:type="dxa"/>
            </w:tcMar>
            <w:vAlign w:val="center"/>
            <w:hideMark/>
          </w:tcPr>
          <w:p w14:paraId="2475099E" w14:textId="77777777" w:rsidR="00AB5969" w:rsidRPr="000E3393" w:rsidRDefault="00AB5969" w:rsidP="00D20773">
            <w:pPr>
              <w:jc w:val="center"/>
            </w:pPr>
            <w:r>
              <w:rPr>
                <w:b/>
                <w:bCs/>
              </w:rPr>
              <w:t>Average No. of Attempts (Failing Candidates) (Range)</w:t>
            </w:r>
          </w:p>
        </w:tc>
      </w:tr>
      <w:tr w:rsidR="00AB5969" w:rsidRPr="000E3393" w14:paraId="518DA3A2" w14:textId="77777777" w:rsidTr="00D20773">
        <w:trPr>
          <w:trHeight w:val="680"/>
        </w:trPr>
        <w:tc>
          <w:tcPr>
            <w:tcW w:w="1814" w:type="dxa"/>
            <w:tcBorders>
              <w:top w:val="single" w:sz="12" w:space="0" w:color="000000"/>
              <w:left w:val="nil"/>
              <w:bottom w:val="nil"/>
              <w:right w:val="nil"/>
            </w:tcBorders>
            <w:shd w:val="clear" w:color="auto" w:fill="auto"/>
            <w:tcMar>
              <w:top w:w="15" w:type="dxa"/>
              <w:left w:w="104" w:type="dxa"/>
              <w:bottom w:w="0" w:type="dxa"/>
              <w:right w:w="104" w:type="dxa"/>
            </w:tcMar>
            <w:vAlign w:val="center"/>
            <w:hideMark/>
          </w:tcPr>
          <w:p w14:paraId="21AED4AE" w14:textId="77777777" w:rsidR="00AB5969" w:rsidRPr="00BD0B65" w:rsidRDefault="00AB5969" w:rsidP="00D20773">
            <w:pPr>
              <w:rPr>
                <w:sz w:val="20"/>
                <w:szCs w:val="20"/>
              </w:rPr>
            </w:pPr>
            <w:r>
              <w:rPr>
                <w:sz w:val="20"/>
                <w:szCs w:val="20"/>
              </w:rPr>
              <w:t>All</w:t>
            </w:r>
          </w:p>
        </w:tc>
        <w:tc>
          <w:tcPr>
            <w:tcW w:w="1305" w:type="dxa"/>
            <w:tcBorders>
              <w:top w:val="single" w:sz="12" w:space="0" w:color="000000"/>
              <w:left w:val="nil"/>
              <w:bottom w:val="nil"/>
              <w:right w:val="nil"/>
            </w:tcBorders>
            <w:shd w:val="clear" w:color="auto" w:fill="auto"/>
            <w:tcMar>
              <w:top w:w="15" w:type="dxa"/>
              <w:left w:w="104" w:type="dxa"/>
              <w:bottom w:w="0" w:type="dxa"/>
              <w:right w:w="104" w:type="dxa"/>
            </w:tcMar>
            <w:vAlign w:val="center"/>
          </w:tcPr>
          <w:p w14:paraId="4B21D82C" w14:textId="77777777" w:rsidR="00AB5969" w:rsidRPr="00D46CAF" w:rsidRDefault="00AB5969" w:rsidP="00D20773">
            <w:pPr>
              <w:jc w:val="center"/>
              <w:rPr>
                <w:rFonts w:cstheme="minorHAnsi"/>
                <w:sz w:val="20"/>
                <w:szCs w:val="20"/>
              </w:rPr>
            </w:pPr>
            <w:r w:rsidRPr="00D46CAF">
              <w:rPr>
                <w:rFonts w:cstheme="minorHAnsi"/>
                <w:color w:val="000000"/>
              </w:rPr>
              <w:t>193</w:t>
            </w:r>
          </w:p>
        </w:tc>
        <w:tc>
          <w:tcPr>
            <w:tcW w:w="1276" w:type="dxa"/>
            <w:tcBorders>
              <w:top w:val="single" w:sz="12" w:space="0" w:color="000000"/>
              <w:left w:val="nil"/>
              <w:bottom w:val="nil"/>
              <w:right w:val="nil"/>
            </w:tcBorders>
            <w:shd w:val="clear" w:color="auto" w:fill="auto"/>
            <w:tcMar>
              <w:top w:w="15" w:type="dxa"/>
              <w:left w:w="104" w:type="dxa"/>
              <w:bottom w:w="0" w:type="dxa"/>
              <w:right w:w="104" w:type="dxa"/>
            </w:tcMar>
            <w:vAlign w:val="center"/>
          </w:tcPr>
          <w:p w14:paraId="6C6EFC54" w14:textId="77777777" w:rsidR="00AB5969" w:rsidRPr="00D46CAF" w:rsidRDefault="00AB5969" w:rsidP="00D20773">
            <w:pPr>
              <w:jc w:val="center"/>
              <w:rPr>
                <w:rFonts w:cstheme="minorHAnsi"/>
                <w:sz w:val="20"/>
                <w:szCs w:val="20"/>
              </w:rPr>
            </w:pPr>
            <w:r w:rsidRPr="00D46CAF">
              <w:rPr>
                <w:rFonts w:cstheme="minorHAnsi"/>
                <w:color w:val="000000"/>
              </w:rPr>
              <w:t>133 (68.9%)</w:t>
            </w:r>
          </w:p>
        </w:tc>
        <w:tc>
          <w:tcPr>
            <w:tcW w:w="1421" w:type="dxa"/>
            <w:tcBorders>
              <w:top w:val="single" w:sz="12" w:space="0" w:color="000000"/>
              <w:left w:val="nil"/>
              <w:bottom w:val="nil"/>
              <w:right w:val="nil"/>
            </w:tcBorders>
            <w:shd w:val="clear" w:color="auto" w:fill="auto"/>
            <w:tcMar>
              <w:top w:w="15" w:type="dxa"/>
              <w:left w:w="104" w:type="dxa"/>
              <w:bottom w:w="0" w:type="dxa"/>
              <w:right w:w="104" w:type="dxa"/>
            </w:tcMar>
            <w:vAlign w:val="center"/>
          </w:tcPr>
          <w:p w14:paraId="78D31561" w14:textId="77777777" w:rsidR="00AB5969" w:rsidRPr="00D46CAF" w:rsidRDefault="00AB5969" w:rsidP="00D20773">
            <w:pPr>
              <w:jc w:val="center"/>
              <w:rPr>
                <w:rFonts w:cstheme="minorHAnsi"/>
                <w:sz w:val="20"/>
                <w:szCs w:val="20"/>
              </w:rPr>
            </w:pPr>
            <w:r w:rsidRPr="00D46CAF">
              <w:rPr>
                <w:rFonts w:cstheme="minorHAnsi"/>
                <w:color w:val="000000"/>
              </w:rPr>
              <w:t>91 (47.2%)</w:t>
            </w:r>
          </w:p>
        </w:tc>
        <w:tc>
          <w:tcPr>
            <w:tcW w:w="1421" w:type="dxa"/>
            <w:tcBorders>
              <w:top w:val="single" w:sz="12" w:space="0" w:color="000000"/>
              <w:left w:val="nil"/>
              <w:bottom w:val="nil"/>
              <w:right w:val="nil"/>
            </w:tcBorders>
            <w:shd w:val="clear" w:color="auto" w:fill="auto"/>
            <w:tcMar>
              <w:top w:w="15" w:type="dxa"/>
              <w:left w:w="104" w:type="dxa"/>
              <w:bottom w:w="0" w:type="dxa"/>
              <w:right w:w="104" w:type="dxa"/>
            </w:tcMar>
            <w:vAlign w:val="center"/>
          </w:tcPr>
          <w:p w14:paraId="54E8159C" w14:textId="77777777" w:rsidR="00AB5969" w:rsidRPr="00D46CAF" w:rsidRDefault="00AB5969" w:rsidP="00D20773">
            <w:pPr>
              <w:jc w:val="center"/>
              <w:rPr>
                <w:rFonts w:cstheme="minorHAnsi"/>
                <w:sz w:val="20"/>
                <w:szCs w:val="20"/>
              </w:rPr>
            </w:pPr>
            <w:r w:rsidRPr="00D46CAF">
              <w:rPr>
                <w:rFonts w:cstheme="minorHAnsi"/>
                <w:color w:val="000000"/>
              </w:rPr>
              <w:t>1.44 (1,5)</w:t>
            </w:r>
          </w:p>
        </w:tc>
        <w:tc>
          <w:tcPr>
            <w:tcW w:w="1420" w:type="dxa"/>
            <w:tcBorders>
              <w:top w:val="single" w:sz="12" w:space="0" w:color="000000"/>
              <w:left w:val="nil"/>
              <w:bottom w:val="nil"/>
              <w:right w:val="nil"/>
            </w:tcBorders>
            <w:shd w:val="clear" w:color="auto" w:fill="auto"/>
            <w:tcMar>
              <w:top w:w="15" w:type="dxa"/>
              <w:left w:w="104" w:type="dxa"/>
              <w:bottom w:w="0" w:type="dxa"/>
              <w:right w:w="104" w:type="dxa"/>
            </w:tcMar>
            <w:vAlign w:val="center"/>
          </w:tcPr>
          <w:p w14:paraId="6691E6C0" w14:textId="77777777" w:rsidR="00AB5969" w:rsidRPr="00D46CAF" w:rsidRDefault="00AB5969" w:rsidP="00D20773">
            <w:pPr>
              <w:jc w:val="center"/>
              <w:rPr>
                <w:rFonts w:cstheme="minorHAnsi"/>
                <w:sz w:val="20"/>
                <w:szCs w:val="20"/>
              </w:rPr>
            </w:pPr>
            <w:r w:rsidRPr="00D46CAF">
              <w:rPr>
                <w:rFonts w:cstheme="minorHAnsi"/>
                <w:color w:val="000000"/>
              </w:rPr>
              <w:t>31 (16.1%)</w:t>
            </w:r>
          </w:p>
        </w:tc>
        <w:tc>
          <w:tcPr>
            <w:tcW w:w="1148" w:type="dxa"/>
            <w:tcBorders>
              <w:top w:val="single" w:sz="12" w:space="0" w:color="000000"/>
              <w:left w:val="nil"/>
              <w:bottom w:val="nil"/>
              <w:right w:val="nil"/>
            </w:tcBorders>
            <w:shd w:val="clear" w:color="auto" w:fill="auto"/>
            <w:tcMar>
              <w:top w:w="15" w:type="dxa"/>
              <w:left w:w="104" w:type="dxa"/>
              <w:bottom w:w="0" w:type="dxa"/>
              <w:right w:w="104" w:type="dxa"/>
            </w:tcMar>
            <w:vAlign w:val="center"/>
          </w:tcPr>
          <w:p w14:paraId="064E2EDE" w14:textId="77777777" w:rsidR="00AB5969" w:rsidRPr="00D46CAF" w:rsidRDefault="00AB5969" w:rsidP="00D20773">
            <w:pPr>
              <w:jc w:val="center"/>
              <w:rPr>
                <w:rFonts w:cstheme="minorHAnsi"/>
                <w:sz w:val="20"/>
                <w:szCs w:val="20"/>
              </w:rPr>
            </w:pPr>
            <w:r w:rsidRPr="00D46CAF">
              <w:rPr>
                <w:rFonts w:cstheme="minorHAnsi"/>
                <w:color w:val="000000"/>
              </w:rPr>
              <w:t>15 (7.8%)</w:t>
            </w:r>
          </w:p>
        </w:tc>
        <w:tc>
          <w:tcPr>
            <w:tcW w:w="1134" w:type="dxa"/>
            <w:tcBorders>
              <w:top w:val="single" w:sz="12" w:space="0" w:color="000000"/>
              <w:left w:val="nil"/>
              <w:bottom w:val="nil"/>
              <w:right w:val="nil"/>
            </w:tcBorders>
            <w:shd w:val="clear" w:color="auto" w:fill="auto"/>
            <w:tcMar>
              <w:top w:w="15" w:type="dxa"/>
              <w:left w:w="104" w:type="dxa"/>
              <w:bottom w:w="0" w:type="dxa"/>
              <w:right w:w="104" w:type="dxa"/>
            </w:tcMar>
            <w:vAlign w:val="center"/>
          </w:tcPr>
          <w:p w14:paraId="0068A955" w14:textId="77777777" w:rsidR="00AB5969" w:rsidRPr="00D46CAF" w:rsidRDefault="00AB5969" w:rsidP="00D20773">
            <w:pPr>
              <w:jc w:val="center"/>
              <w:rPr>
                <w:rFonts w:cstheme="minorHAnsi"/>
                <w:sz w:val="20"/>
                <w:szCs w:val="20"/>
              </w:rPr>
            </w:pPr>
            <w:r w:rsidRPr="00D46CAF">
              <w:rPr>
                <w:rFonts w:cstheme="minorHAnsi"/>
                <w:color w:val="000000"/>
              </w:rPr>
              <w:t>14 (7.3%)</w:t>
            </w:r>
          </w:p>
        </w:tc>
        <w:tc>
          <w:tcPr>
            <w:tcW w:w="1701" w:type="dxa"/>
            <w:tcBorders>
              <w:top w:val="single" w:sz="12" w:space="0" w:color="000000"/>
              <w:left w:val="nil"/>
              <w:bottom w:val="nil"/>
              <w:right w:val="nil"/>
            </w:tcBorders>
            <w:shd w:val="clear" w:color="auto" w:fill="auto"/>
            <w:tcMar>
              <w:top w:w="15" w:type="dxa"/>
              <w:left w:w="104" w:type="dxa"/>
              <w:bottom w:w="0" w:type="dxa"/>
              <w:right w:w="104" w:type="dxa"/>
            </w:tcMar>
            <w:vAlign w:val="center"/>
          </w:tcPr>
          <w:p w14:paraId="4A34DB93" w14:textId="77777777" w:rsidR="00AB5969" w:rsidRPr="00D46CAF" w:rsidRDefault="00AB5969" w:rsidP="00D20773">
            <w:pPr>
              <w:jc w:val="center"/>
              <w:rPr>
                <w:rFonts w:cstheme="minorHAnsi"/>
                <w:sz w:val="20"/>
                <w:szCs w:val="20"/>
              </w:rPr>
            </w:pPr>
            <w:r w:rsidRPr="00D46CAF">
              <w:rPr>
                <w:rFonts w:cstheme="minorHAnsi"/>
                <w:color w:val="000000"/>
              </w:rPr>
              <w:t>29 (15.0%)</w:t>
            </w:r>
          </w:p>
        </w:tc>
        <w:tc>
          <w:tcPr>
            <w:tcW w:w="1961" w:type="dxa"/>
            <w:tcBorders>
              <w:top w:val="single" w:sz="12" w:space="0" w:color="000000"/>
              <w:left w:val="nil"/>
              <w:bottom w:val="nil"/>
              <w:right w:val="nil"/>
            </w:tcBorders>
            <w:shd w:val="clear" w:color="auto" w:fill="auto"/>
            <w:tcMar>
              <w:top w:w="15" w:type="dxa"/>
              <w:left w:w="104" w:type="dxa"/>
              <w:bottom w:w="0" w:type="dxa"/>
              <w:right w:w="104" w:type="dxa"/>
            </w:tcMar>
            <w:vAlign w:val="center"/>
          </w:tcPr>
          <w:p w14:paraId="68D86AFF" w14:textId="77777777" w:rsidR="00AB5969" w:rsidRPr="00D46CAF" w:rsidRDefault="00AB5969" w:rsidP="00D20773">
            <w:pPr>
              <w:jc w:val="center"/>
              <w:rPr>
                <w:rFonts w:cstheme="minorHAnsi"/>
                <w:sz w:val="20"/>
                <w:szCs w:val="20"/>
              </w:rPr>
            </w:pPr>
            <w:r w:rsidRPr="00D46CAF">
              <w:rPr>
                <w:rFonts w:cstheme="minorHAnsi"/>
                <w:color w:val="000000"/>
              </w:rPr>
              <w:t>1.85 (1,5)</w:t>
            </w:r>
          </w:p>
        </w:tc>
      </w:tr>
      <w:tr w:rsidR="00AB5969" w:rsidRPr="000E3393" w14:paraId="78AF6AC9" w14:textId="77777777" w:rsidTr="00D20773">
        <w:trPr>
          <w:trHeight w:val="454"/>
        </w:trPr>
        <w:tc>
          <w:tcPr>
            <w:tcW w:w="1814" w:type="dxa"/>
            <w:tcBorders>
              <w:top w:val="nil"/>
              <w:left w:val="nil"/>
              <w:bottom w:val="nil"/>
              <w:right w:val="nil"/>
            </w:tcBorders>
            <w:shd w:val="clear" w:color="auto" w:fill="auto"/>
            <w:tcMar>
              <w:top w:w="15" w:type="dxa"/>
              <w:left w:w="104" w:type="dxa"/>
              <w:bottom w:w="0" w:type="dxa"/>
              <w:right w:w="104" w:type="dxa"/>
            </w:tcMar>
            <w:vAlign w:val="center"/>
            <w:hideMark/>
          </w:tcPr>
          <w:p w14:paraId="41CB6660" w14:textId="77777777" w:rsidR="00AB5969" w:rsidRPr="00E11B36" w:rsidRDefault="00AB5969" w:rsidP="00D20773">
            <w:pPr>
              <w:rPr>
                <w:sz w:val="20"/>
                <w:szCs w:val="20"/>
                <w:vertAlign w:val="superscript"/>
              </w:rPr>
            </w:pPr>
            <w:proofErr w:type="spellStart"/>
            <w:r>
              <w:rPr>
                <w:sz w:val="20"/>
                <w:szCs w:val="20"/>
              </w:rPr>
              <w:t>Europe</w:t>
            </w:r>
            <w:r w:rsidRPr="00E11B36">
              <w:rPr>
                <w:sz w:val="24"/>
                <w:szCs w:val="24"/>
                <w:vertAlign w:val="superscript"/>
              </w:rPr>
              <w:t>c</w:t>
            </w:r>
            <w:proofErr w:type="spellEnd"/>
          </w:p>
        </w:tc>
        <w:tc>
          <w:tcPr>
            <w:tcW w:w="1305" w:type="dxa"/>
            <w:tcBorders>
              <w:top w:val="nil"/>
              <w:left w:val="nil"/>
              <w:bottom w:val="nil"/>
              <w:right w:val="nil"/>
            </w:tcBorders>
            <w:shd w:val="clear" w:color="auto" w:fill="auto"/>
            <w:tcMar>
              <w:top w:w="15" w:type="dxa"/>
              <w:left w:w="104" w:type="dxa"/>
              <w:bottom w:w="0" w:type="dxa"/>
              <w:right w:w="104" w:type="dxa"/>
            </w:tcMar>
            <w:vAlign w:val="center"/>
          </w:tcPr>
          <w:p w14:paraId="332359A0" w14:textId="77777777" w:rsidR="00AB5969" w:rsidRPr="00D46CAF" w:rsidRDefault="00AB5969" w:rsidP="00D20773">
            <w:pPr>
              <w:jc w:val="center"/>
              <w:rPr>
                <w:rFonts w:cstheme="minorHAnsi"/>
                <w:sz w:val="20"/>
                <w:szCs w:val="20"/>
              </w:rPr>
            </w:pPr>
            <w:r w:rsidRPr="00D46CAF">
              <w:rPr>
                <w:rFonts w:cstheme="minorHAnsi"/>
                <w:color w:val="000000"/>
              </w:rPr>
              <w:t>97 (50.3%)</w:t>
            </w:r>
          </w:p>
        </w:tc>
        <w:tc>
          <w:tcPr>
            <w:tcW w:w="1276" w:type="dxa"/>
            <w:tcBorders>
              <w:top w:val="nil"/>
              <w:left w:val="nil"/>
              <w:bottom w:val="nil"/>
              <w:right w:val="nil"/>
            </w:tcBorders>
            <w:shd w:val="clear" w:color="auto" w:fill="auto"/>
            <w:tcMar>
              <w:top w:w="15" w:type="dxa"/>
              <w:left w:w="104" w:type="dxa"/>
              <w:bottom w:w="0" w:type="dxa"/>
              <w:right w:w="104" w:type="dxa"/>
            </w:tcMar>
            <w:vAlign w:val="center"/>
          </w:tcPr>
          <w:p w14:paraId="6E32266A" w14:textId="77777777" w:rsidR="00AB5969" w:rsidRPr="00D46CAF" w:rsidRDefault="00AB5969" w:rsidP="00D20773">
            <w:pPr>
              <w:jc w:val="center"/>
              <w:rPr>
                <w:rFonts w:cstheme="minorHAnsi"/>
                <w:sz w:val="20"/>
                <w:szCs w:val="20"/>
              </w:rPr>
            </w:pPr>
            <w:r w:rsidRPr="00D46CAF">
              <w:rPr>
                <w:rFonts w:cstheme="minorHAnsi"/>
                <w:color w:val="000000"/>
              </w:rPr>
              <w:t>80 (82.5%)</w:t>
            </w:r>
          </w:p>
        </w:tc>
        <w:tc>
          <w:tcPr>
            <w:tcW w:w="1421" w:type="dxa"/>
            <w:tcBorders>
              <w:top w:val="nil"/>
              <w:left w:val="nil"/>
              <w:bottom w:val="nil"/>
              <w:right w:val="nil"/>
            </w:tcBorders>
            <w:shd w:val="clear" w:color="auto" w:fill="auto"/>
            <w:tcMar>
              <w:top w:w="15" w:type="dxa"/>
              <w:left w:w="104" w:type="dxa"/>
              <w:bottom w:w="0" w:type="dxa"/>
              <w:right w:w="104" w:type="dxa"/>
            </w:tcMar>
            <w:vAlign w:val="center"/>
          </w:tcPr>
          <w:p w14:paraId="14F8A1CD" w14:textId="77777777" w:rsidR="00AB5969" w:rsidRPr="00D46CAF" w:rsidRDefault="00AB5969" w:rsidP="00D20773">
            <w:pPr>
              <w:jc w:val="center"/>
              <w:rPr>
                <w:rFonts w:cstheme="minorHAnsi"/>
                <w:sz w:val="20"/>
                <w:szCs w:val="20"/>
              </w:rPr>
            </w:pPr>
            <w:r w:rsidRPr="00D46CAF">
              <w:rPr>
                <w:rFonts w:cstheme="minorHAnsi"/>
                <w:color w:val="000000"/>
              </w:rPr>
              <w:t>60 (61.9%)</w:t>
            </w:r>
          </w:p>
        </w:tc>
        <w:tc>
          <w:tcPr>
            <w:tcW w:w="1421" w:type="dxa"/>
            <w:tcBorders>
              <w:top w:val="nil"/>
              <w:left w:val="nil"/>
              <w:bottom w:val="nil"/>
              <w:right w:val="nil"/>
            </w:tcBorders>
            <w:shd w:val="clear" w:color="auto" w:fill="auto"/>
            <w:tcMar>
              <w:top w:w="15" w:type="dxa"/>
              <w:left w:w="104" w:type="dxa"/>
              <w:bottom w:w="0" w:type="dxa"/>
              <w:right w:w="104" w:type="dxa"/>
            </w:tcMar>
            <w:vAlign w:val="center"/>
          </w:tcPr>
          <w:p w14:paraId="21640187" w14:textId="77777777" w:rsidR="00AB5969" w:rsidRPr="00D46CAF" w:rsidRDefault="00AB5969" w:rsidP="00D20773">
            <w:pPr>
              <w:jc w:val="center"/>
              <w:rPr>
                <w:rFonts w:cstheme="minorHAnsi"/>
                <w:sz w:val="20"/>
                <w:szCs w:val="20"/>
              </w:rPr>
            </w:pPr>
            <w:r w:rsidRPr="00D46CAF">
              <w:rPr>
                <w:rFonts w:cstheme="minorHAnsi"/>
                <w:color w:val="000000"/>
              </w:rPr>
              <w:t>1.32 (1,3)</w:t>
            </w:r>
          </w:p>
        </w:tc>
        <w:tc>
          <w:tcPr>
            <w:tcW w:w="1420" w:type="dxa"/>
            <w:tcBorders>
              <w:top w:val="nil"/>
              <w:left w:val="nil"/>
              <w:bottom w:val="nil"/>
              <w:right w:val="nil"/>
            </w:tcBorders>
            <w:shd w:val="clear" w:color="auto" w:fill="auto"/>
            <w:tcMar>
              <w:top w:w="15" w:type="dxa"/>
              <w:left w:w="104" w:type="dxa"/>
              <w:bottom w:w="0" w:type="dxa"/>
              <w:right w:w="104" w:type="dxa"/>
            </w:tcMar>
            <w:vAlign w:val="center"/>
          </w:tcPr>
          <w:p w14:paraId="149B5989" w14:textId="77777777" w:rsidR="00AB5969" w:rsidRPr="00D46CAF" w:rsidRDefault="00AB5969" w:rsidP="00D20773">
            <w:pPr>
              <w:jc w:val="center"/>
              <w:rPr>
                <w:rFonts w:cstheme="minorHAnsi"/>
                <w:sz w:val="20"/>
                <w:szCs w:val="20"/>
              </w:rPr>
            </w:pPr>
            <w:r w:rsidRPr="00D46CAF">
              <w:rPr>
                <w:rFonts w:cstheme="minorHAnsi"/>
                <w:color w:val="000000"/>
              </w:rPr>
              <w:t>1 (1.0%)</w:t>
            </w:r>
          </w:p>
        </w:tc>
        <w:tc>
          <w:tcPr>
            <w:tcW w:w="1148" w:type="dxa"/>
            <w:tcBorders>
              <w:top w:val="nil"/>
              <w:left w:val="nil"/>
              <w:bottom w:val="nil"/>
              <w:right w:val="nil"/>
            </w:tcBorders>
            <w:shd w:val="clear" w:color="auto" w:fill="auto"/>
            <w:tcMar>
              <w:top w:w="15" w:type="dxa"/>
              <w:left w:w="104" w:type="dxa"/>
              <w:bottom w:w="0" w:type="dxa"/>
              <w:right w:w="104" w:type="dxa"/>
            </w:tcMar>
            <w:vAlign w:val="center"/>
          </w:tcPr>
          <w:p w14:paraId="26C686CE" w14:textId="77777777" w:rsidR="00AB5969" w:rsidRPr="00D46CAF" w:rsidRDefault="00AB5969" w:rsidP="00D20773">
            <w:pPr>
              <w:jc w:val="center"/>
              <w:rPr>
                <w:rFonts w:cstheme="minorHAnsi"/>
                <w:sz w:val="20"/>
                <w:szCs w:val="20"/>
              </w:rPr>
            </w:pPr>
            <w:r w:rsidRPr="00D46CAF">
              <w:rPr>
                <w:rFonts w:cstheme="minorHAnsi"/>
                <w:color w:val="000000"/>
              </w:rPr>
              <w:t>8 (8.2%)</w:t>
            </w:r>
          </w:p>
        </w:tc>
        <w:tc>
          <w:tcPr>
            <w:tcW w:w="1134" w:type="dxa"/>
            <w:tcBorders>
              <w:top w:val="nil"/>
              <w:left w:val="nil"/>
              <w:bottom w:val="nil"/>
              <w:right w:val="nil"/>
            </w:tcBorders>
            <w:shd w:val="clear" w:color="auto" w:fill="auto"/>
            <w:tcMar>
              <w:top w:w="15" w:type="dxa"/>
              <w:left w:w="104" w:type="dxa"/>
              <w:bottom w:w="0" w:type="dxa"/>
              <w:right w:w="104" w:type="dxa"/>
            </w:tcMar>
            <w:vAlign w:val="center"/>
          </w:tcPr>
          <w:p w14:paraId="292E62DB" w14:textId="77777777" w:rsidR="00AB5969" w:rsidRPr="00D46CAF" w:rsidRDefault="00AB5969" w:rsidP="00D20773">
            <w:pPr>
              <w:jc w:val="center"/>
              <w:rPr>
                <w:rFonts w:cstheme="minorHAnsi"/>
                <w:sz w:val="20"/>
                <w:szCs w:val="20"/>
              </w:rPr>
            </w:pPr>
            <w:r w:rsidRPr="00D46CAF">
              <w:rPr>
                <w:rFonts w:cstheme="minorHAnsi"/>
                <w:color w:val="000000"/>
              </w:rPr>
              <w:t>8 (8.2%)</w:t>
            </w:r>
          </w:p>
        </w:tc>
        <w:tc>
          <w:tcPr>
            <w:tcW w:w="1701" w:type="dxa"/>
            <w:tcBorders>
              <w:top w:val="nil"/>
              <w:left w:val="nil"/>
              <w:bottom w:val="nil"/>
              <w:right w:val="nil"/>
            </w:tcBorders>
            <w:shd w:val="clear" w:color="auto" w:fill="auto"/>
            <w:tcMar>
              <w:top w:w="15" w:type="dxa"/>
              <w:left w:w="104" w:type="dxa"/>
              <w:bottom w:w="0" w:type="dxa"/>
              <w:right w:w="104" w:type="dxa"/>
            </w:tcMar>
            <w:vAlign w:val="center"/>
          </w:tcPr>
          <w:p w14:paraId="7393331D" w14:textId="77777777" w:rsidR="00AB5969" w:rsidRPr="00D46CAF" w:rsidRDefault="00AB5969" w:rsidP="00D20773">
            <w:pPr>
              <w:jc w:val="center"/>
              <w:rPr>
                <w:rFonts w:cstheme="minorHAnsi"/>
                <w:sz w:val="20"/>
                <w:szCs w:val="20"/>
              </w:rPr>
            </w:pPr>
            <w:r w:rsidRPr="00D46CAF">
              <w:rPr>
                <w:rFonts w:cstheme="minorHAnsi"/>
                <w:color w:val="000000"/>
              </w:rPr>
              <w:t>10 (10.3%)</w:t>
            </w:r>
          </w:p>
        </w:tc>
        <w:tc>
          <w:tcPr>
            <w:tcW w:w="1961" w:type="dxa"/>
            <w:tcBorders>
              <w:top w:val="nil"/>
              <w:left w:val="nil"/>
              <w:bottom w:val="nil"/>
              <w:right w:val="nil"/>
            </w:tcBorders>
            <w:shd w:val="clear" w:color="auto" w:fill="auto"/>
            <w:tcMar>
              <w:top w:w="15" w:type="dxa"/>
              <w:left w:w="104" w:type="dxa"/>
              <w:bottom w:w="0" w:type="dxa"/>
              <w:right w:w="104" w:type="dxa"/>
            </w:tcMar>
            <w:vAlign w:val="center"/>
          </w:tcPr>
          <w:p w14:paraId="711CCB48" w14:textId="77777777" w:rsidR="00AB5969" w:rsidRPr="00D46CAF" w:rsidRDefault="00AB5969" w:rsidP="00D20773">
            <w:pPr>
              <w:jc w:val="center"/>
              <w:rPr>
                <w:rFonts w:cstheme="minorHAnsi"/>
                <w:sz w:val="20"/>
                <w:szCs w:val="20"/>
              </w:rPr>
            </w:pPr>
            <w:r w:rsidRPr="00D46CAF">
              <w:rPr>
                <w:rFonts w:cstheme="minorHAnsi"/>
                <w:color w:val="000000"/>
              </w:rPr>
              <w:t>1.76 (1,4)</w:t>
            </w:r>
          </w:p>
        </w:tc>
      </w:tr>
      <w:tr w:rsidR="00AB5969" w:rsidRPr="000E3393" w14:paraId="68470769" w14:textId="77777777" w:rsidTr="00D20773">
        <w:trPr>
          <w:trHeight w:val="680"/>
        </w:trPr>
        <w:tc>
          <w:tcPr>
            <w:tcW w:w="1814" w:type="dxa"/>
            <w:tcBorders>
              <w:top w:val="nil"/>
              <w:left w:val="nil"/>
              <w:bottom w:val="nil"/>
              <w:right w:val="nil"/>
            </w:tcBorders>
            <w:shd w:val="clear" w:color="auto" w:fill="auto"/>
            <w:tcMar>
              <w:top w:w="15" w:type="dxa"/>
              <w:left w:w="104" w:type="dxa"/>
              <w:bottom w:w="0" w:type="dxa"/>
              <w:right w:w="104" w:type="dxa"/>
            </w:tcMar>
            <w:vAlign w:val="center"/>
            <w:hideMark/>
          </w:tcPr>
          <w:p w14:paraId="7CA094EE" w14:textId="77777777" w:rsidR="00AB5969" w:rsidRPr="00E11B36" w:rsidRDefault="00AB5969" w:rsidP="00D20773">
            <w:pPr>
              <w:rPr>
                <w:sz w:val="20"/>
                <w:szCs w:val="20"/>
                <w:vertAlign w:val="superscript"/>
              </w:rPr>
            </w:pPr>
            <w:proofErr w:type="spellStart"/>
            <w:r>
              <w:rPr>
                <w:sz w:val="20"/>
                <w:szCs w:val="20"/>
              </w:rPr>
              <w:t>Africa</w:t>
            </w:r>
            <w:r w:rsidRPr="00E11B36">
              <w:rPr>
                <w:sz w:val="24"/>
                <w:szCs w:val="24"/>
                <w:vertAlign w:val="superscript"/>
              </w:rPr>
              <w:t>d</w:t>
            </w:r>
            <w:proofErr w:type="spellEnd"/>
          </w:p>
        </w:tc>
        <w:tc>
          <w:tcPr>
            <w:tcW w:w="1305" w:type="dxa"/>
            <w:tcBorders>
              <w:top w:val="nil"/>
              <w:left w:val="nil"/>
              <w:bottom w:val="nil"/>
              <w:right w:val="nil"/>
            </w:tcBorders>
            <w:shd w:val="clear" w:color="auto" w:fill="auto"/>
            <w:tcMar>
              <w:top w:w="15" w:type="dxa"/>
              <w:left w:w="104" w:type="dxa"/>
              <w:bottom w:w="0" w:type="dxa"/>
              <w:right w:w="104" w:type="dxa"/>
            </w:tcMar>
            <w:vAlign w:val="center"/>
          </w:tcPr>
          <w:p w14:paraId="377E6EAA" w14:textId="77777777" w:rsidR="00AB5969" w:rsidRPr="00D46CAF" w:rsidRDefault="00AB5969" w:rsidP="00D20773">
            <w:pPr>
              <w:jc w:val="center"/>
              <w:rPr>
                <w:rFonts w:cstheme="minorHAnsi"/>
                <w:sz w:val="20"/>
                <w:szCs w:val="20"/>
              </w:rPr>
            </w:pPr>
            <w:r w:rsidRPr="00D46CAF">
              <w:rPr>
                <w:rFonts w:cstheme="minorHAnsi"/>
                <w:color w:val="000000"/>
              </w:rPr>
              <w:t>47 (24.4%)</w:t>
            </w:r>
          </w:p>
        </w:tc>
        <w:tc>
          <w:tcPr>
            <w:tcW w:w="1276" w:type="dxa"/>
            <w:tcBorders>
              <w:top w:val="nil"/>
              <w:left w:val="nil"/>
              <w:bottom w:val="nil"/>
              <w:right w:val="nil"/>
            </w:tcBorders>
            <w:shd w:val="clear" w:color="auto" w:fill="auto"/>
            <w:tcMar>
              <w:top w:w="15" w:type="dxa"/>
              <w:left w:w="104" w:type="dxa"/>
              <w:bottom w:w="0" w:type="dxa"/>
              <w:right w:w="104" w:type="dxa"/>
            </w:tcMar>
            <w:vAlign w:val="center"/>
          </w:tcPr>
          <w:p w14:paraId="08684182" w14:textId="77777777" w:rsidR="00AB5969" w:rsidRPr="00D46CAF" w:rsidRDefault="00AB5969" w:rsidP="00D20773">
            <w:pPr>
              <w:jc w:val="center"/>
              <w:rPr>
                <w:rFonts w:cstheme="minorHAnsi"/>
                <w:sz w:val="20"/>
                <w:szCs w:val="20"/>
              </w:rPr>
            </w:pPr>
            <w:r w:rsidRPr="00D46CAF">
              <w:rPr>
                <w:rFonts w:cstheme="minorHAnsi"/>
                <w:color w:val="000000"/>
              </w:rPr>
              <w:t>27 (57.4%)</w:t>
            </w:r>
          </w:p>
        </w:tc>
        <w:tc>
          <w:tcPr>
            <w:tcW w:w="1421" w:type="dxa"/>
            <w:tcBorders>
              <w:top w:val="nil"/>
              <w:left w:val="nil"/>
              <w:bottom w:val="nil"/>
              <w:right w:val="nil"/>
            </w:tcBorders>
            <w:shd w:val="clear" w:color="auto" w:fill="auto"/>
            <w:tcMar>
              <w:top w:w="15" w:type="dxa"/>
              <w:left w:w="104" w:type="dxa"/>
              <w:bottom w:w="0" w:type="dxa"/>
              <w:right w:w="104" w:type="dxa"/>
            </w:tcMar>
            <w:vAlign w:val="center"/>
          </w:tcPr>
          <w:p w14:paraId="22A5D239" w14:textId="77777777" w:rsidR="00AB5969" w:rsidRPr="00D46CAF" w:rsidRDefault="00AB5969" w:rsidP="00D20773">
            <w:pPr>
              <w:jc w:val="center"/>
              <w:rPr>
                <w:rFonts w:cstheme="minorHAnsi"/>
                <w:sz w:val="20"/>
                <w:szCs w:val="20"/>
              </w:rPr>
            </w:pPr>
            <w:r w:rsidRPr="00D46CAF">
              <w:rPr>
                <w:rFonts w:cstheme="minorHAnsi"/>
                <w:color w:val="000000"/>
              </w:rPr>
              <w:t>16 (34.0%)</w:t>
            </w:r>
          </w:p>
        </w:tc>
        <w:tc>
          <w:tcPr>
            <w:tcW w:w="1421" w:type="dxa"/>
            <w:tcBorders>
              <w:top w:val="nil"/>
              <w:left w:val="nil"/>
              <w:bottom w:val="nil"/>
              <w:right w:val="nil"/>
            </w:tcBorders>
            <w:shd w:val="clear" w:color="auto" w:fill="auto"/>
            <w:tcMar>
              <w:top w:w="15" w:type="dxa"/>
              <w:left w:w="104" w:type="dxa"/>
              <w:bottom w:w="0" w:type="dxa"/>
              <w:right w:w="104" w:type="dxa"/>
            </w:tcMar>
            <w:vAlign w:val="center"/>
          </w:tcPr>
          <w:p w14:paraId="4E7E9ED0" w14:textId="77777777" w:rsidR="00AB5969" w:rsidRPr="00D46CAF" w:rsidRDefault="00AB5969" w:rsidP="00D20773">
            <w:pPr>
              <w:jc w:val="center"/>
              <w:rPr>
                <w:rFonts w:cstheme="minorHAnsi"/>
                <w:sz w:val="20"/>
                <w:szCs w:val="20"/>
              </w:rPr>
            </w:pPr>
            <w:r w:rsidRPr="00D46CAF">
              <w:rPr>
                <w:rFonts w:cstheme="minorHAnsi"/>
                <w:color w:val="000000"/>
              </w:rPr>
              <w:t>1.59 (1,5)</w:t>
            </w:r>
          </w:p>
        </w:tc>
        <w:tc>
          <w:tcPr>
            <w:tcW w:w="1420" w:type="dxa"/>
            <w:tcBorders>
              <w:top w:val="nil"/>
              <w:left w:val="nil"/>
              <w:bottom w:val="nil"/>
              <w:right w:val="nil"/>
            </w:tcBorders>
            <w:shd w:val="clear" w:color="auto" w:fill="auto"/>
            <w:tcMar>
              <w:top w:w="15" w:type="dxa"/>
              <w:left w:w="104" w:type="dxa"/>
              <w:bottom w:w="0" w:type="dxa"/>
              <w:right w:w="104" w:type="dxa"/>
            </w:tcMar>
            <w:vAlign w:val="center"/>
          </w:tcPr>
          <w:p w14:paraId="6A9F5DB0" w14:textId="77777777" w:rsidR="00AB5969" w:rsidRPr="00D46CAF" w:rsidRDefault="00AB5969" w:rsidP="00D20773">
            <w:pPr>
              <w:jc w:val="center"/>
              <w:rPr>
                <w:rFonts w:cstheme="minorHAnsi"/>
                <w:sz w:val="20"/>
                <w:szCs w:val="20"/>
              </w:rPr>
            </w:pPr>
            <w:r w:rsidRPr="00D46CAF">
              <w:rPr>
                <w:rFonts w:cstheme="minorHAnsi"/>
                <w:color w:val="000000"/>
              </w:rPr>
              <w:t>13 (27.7%)</w:t>
            </w:r>
          </w:p>
        </w:tc>
        <w:tc>
          <w:tcPr>
            <w:tcW w:w="1148" w:type="dxa"/>
            <w:tcBorders>
              <w:top w:val="nil"/>
              <w:left w:val="nil"/>
              <w:bottom w:val="nil"/>
              <w:right w:val="nil"/>
            </w:tcBorders>
            <w:shd w:val="clear" w:color="auto" w:fill="auto"/>
            <w:tcMar>
              <w:top w:w="15" w:type="dxa"/>
              <w:left w:w="104" w:type="dxa"/>
              <w:bottom w:w="0" w:type="dxa"/>
              <w:right w:w="104" w:type="dxa"/>
            </w:tcMar>
            <w:vAlign w:val="center"/>
          </w:tcPr>
          <w:p w14:paraId="7EDA17C1" w14:textId="77777777" w:rsidR="00AB5969" w:rsidRPr="00D46CAF" w:rsidRDefault="00AB5969" w:rsidP="00D20773">
            <w:pPr>
              <w:jc w:val="center"/>
              <w:rPr>
                <w:rFonts w:cstheme="minorHAnsi"/>
                <w:sz w:val="20"/>
                <w:szCs w:val="20"/>
              </w:rPr>
            </w:pPr>
            <w:r w:rsidRPr="00D46CAF">
              <w:rPr>
                <w:rFonts w:cstheme="minorHAnsi"/>
                <w:color w:val="000000"/>
              </w:rPr>
              <w:t>6 (12.8%)</w:t>
            </w:r>
          </w:p>
        </w:tc>
        <w:tc>
          <w:tcPr>
            <w:tcW w:w="1134" w:type="dxa"/>
            <w:tcBorders>
              <w:top w:val="nil"/>
              <w:left w:val="nil"/>
              <w:bottom w:val="nil"/>
              <w:right w:val="nil"/>
            </w:tcBorders>
            <w:shd w:val="clear" w:color="auto" w:fill="auto"/>
            <w:tcMar>
              <w:top w:w="15" w:type="dxa"/>
              <w:left w:w="104" w:type="dxa"/>
              <w:bottom w:w="0" w:type="dxa"/>
              <w:right w:w="104" w:type="dxa"/>
            </w:tcMar>
            <w:vAlign w:val="center"/>
          </w:tcPr>
          <w:p w14:paraId="0FCE39C2" w14:textId="77777777" w:rsidR="00AB5969" w:rsidRPr="00D46CAF" w:rsidRDefault="00AB5969" w:rsidP="00D20773">
            <w:pPr>
              <w:jc w:val="center"/>
              <w:rPr>
                <w:rFonts w:cstheme="minorHAnsi"/>
                <w:sz w:val="20"/>
                <w:szCs w:val="20"/>
              </w:rPr>
            </w:pPr>
            <w:r w:rsidRPr="00D46CAF">
              <w:rPr>
                <w:rFonts w:cstheme="minorHAnsi"/>
                <w:color w:val="000000"/>
              </w:rPr>
              <w:t>1 (2.1%)</w:t>
            </w:r>
          </w:p>
        </w:tc>
        <w:tc>
          <w:tcPr>
            <w:tcW w:w="1701" w:type="dxa"/>
            <w:tcBorders>
              <w:top w:val="nil"/>
              <w:left w:val="nil"/>
              <w:bottom w:val="nil"/>
              <w:right w:val="nil"/>
            </w:tcBorders>
            <w:shd w:val="clear" w:color="auto" w:fill="auto"/>
            <w:tcMar>
              <w:top w:w="15" w:type="dxa"/>
              <w:left w:w="104" w:type="dxa"/>
              <w:bottom w:w="0" w:type="dxa"/>
              <w:right w:w="104" w:type="dxa"/>
            </w:tcMar>
            <w:vAlign w:val="center"/>
          </w:tcPr>
          <w:p w14:paraId="758A77A7" w14:textId="77777777" w:rsidR="00AB5969" w:rsidRPr="00D46CAF" w:rsidRDefault="00AB5969" w:rsidP="00D20773">
            <w:pPr>
              <w:jc w:val="center"/>
              <w:rPr>
                <w:rFonts w:cstheme="minorHAnsi"/>
                <w:sz w:val="20"/>
                <w:szCs w:val="20"/>
              </w:rPr>
            </w:pPr>
            <w:r w:rsidRPr="00D46CAF">
              <w:rPr>
                <w:rFonts w:cstheme="minorHAnsi"/>
                <w:color w:val="000000"/>
              </w:rPr>
              <w:t>8 (17.0%)</w:t>
            </w:r>
          </w:p>
        </w:tc>
        <w:tc>
          <w:tcPr>
            <w:tcW w:w="1961" w:type="dxa"/>
            <w:tcBorders>
              <w:top w:val="nil"/>
              <w:left w:val="nil"/>
              <w:bottom w:val="nil"/>
              <w:right w:val="nil"/>
            </w:tcBorders>
            <w:shd w:val="clear" w:color="auto" w:fill="auto"/>
            <w:tcMar>
              <w:top w:w="15" w:type="dxa"/>
              <w:left w:w="104" w:type="dxa"/>
              <w:bottom w:w="0" w:type="dxa"/>
              <w:right w:w="104" w:type="dxa"/>
            </w:tcMar>
            <w:vAlign w:val="center"/>
          </w:tcPr>
          <w:p w14:paraId="5C1D3A00" w14:textId="77777777" w:rsidR="00AB5969" w:rsidRPr="00D46CAF" w:rsidRDefault="00AB5969" w:rsidP="00D20773">
            <w:pPr>
              <w:jc w:val="center"/>
              <w:rPr>
                <w:rFonts w:cstheme="minorHAnsi"/>
                <w:sz w:val="20"/>
                <w:szCs w:val="20"/>
              </w:rPr>
            </w:pPr>
            <w:r w:rsidRPr="00D46CAF">
              <w:rPr>
                <w:rFonts w:cstheme="minorHAnsi"/>
                <w:color w:val="000000"/>
              </w:rPr>
              <w:t>1.85 (1,3)</w:t>
            </w:r>
          </w:p>
        </w:tc>
      </w:tr>
      <w:tr w:rsidR="00AB5969" w:rsidRPr="000E3393" w14:paraId="6F6095DA" w14:textId="77777777" w:rsidTr="00D20773">
        <w:trPr>
          <w:trHeight w:val="454"/>
        </w:trPr>
        <w:tc>
          <w:tcPr>
            <w:tcW w:w="1814" w:type="dxa"/>
            <w:tcBorders>
              <w:top w:val="nil"/>
              <w:left w:val="nil"/>
              <w:bottom w:val="nil"/>
              <w:right w:val="nil"/>
            </w:tcBorders>
            <w:shd w:val="clear" w:color="auto" w:fill="auto"/>
            <w:tcMar>
              <w:top w:w="15" w:type="dxa"/>
              <w:left w:w="104" w:type="dxa"/>
              <w:bottom w:w="0" w:type="dxa"/>
              <w:right w:w="104" w:type="dxa"/>
            </w:tcMar>
            <w:vAlign w:val="center"/>
            <w:hideMark/>
          </w:tcPr>
          <w:p w14:paraId="07F43930" w14:textId="77777777" w:rsidR="00AB5969" w:rsidRPr="00E11B36" w:rsidRDefault="00AB5969" w:rsidP="00D20773">
            <w:pPr>
              <w:rPr>
                <w:sz w:val="20"/>
                <w:szCs w:val="20"/>
                <w:vertAlign w:val="superscript"/>
              </w:rPr>
            </w:pPr>
            <w:r>
              <w:rPr>
                <w:sz w:val="20"/>
                <w:szCs w:val="20"/>
              </w:rPr>
              <w:t xml:space="preserve">Asia/Subcontinent/ Middle </w:t>
            </w:r>
            <w:proofErr w:type="spellStart"/>
            <w:r>
              <w:rPr>
                <w:sz w:val="20"/>
                <w:szCs w:val="20"/>
              </w:rPr>
              <w:t>East</w:t>
            </w:r>
            <w:r w:rsidRPr="00E11B36">
              <w:rPr>
                <w:sz w:val="24"/>
                <w:szCs w:val="24"/>
                <w:vertAlign w:val="superscript"/>
              </w:rPr>
              <w:t>e</w:t>
            </w:r>
            <w:proofErr w:type="spellEnd"/>
          </w:p>
        </w:tc>
        <w:tc>
          <w:tcPr>
            <w:tcW w:w="1305" w:type="dxa"/>
            <w:tcBorders>
              <w:top w:val="nil"/>
              <w:left w:val="nil"/>
              <w:bottom w:val="nil"/>
              <w:right w:val="nil"/>
            </w:tcBorders>
            <w:shd w:val="clear" w:color="auto" w:fill="auto"/>
            <w:tcMar>
              <w:top w:w="15" w:type="dxa"/>
              <w:left w:w="104" w:type="dxa"/>
              <w:bottom w:w="0" w:type="dxa"/>
              <w:right w:w="104" w:type="dxa"/>
            </w:tcMar>
            <w:vAlign w:val="center"/>
          </w:tcPr>
          <w:p w14:paraId="3F42AB72" w14:textId="77777777" w:rsidR="00AB5969" w:rsidRPr="00D46CAF" w:rsidRDefault="00AB5969" w:rsidP="00D20773">
            <w:pPr>
              <w:jc w:val="center"/>
              <w:rPr>
                <w:rFonts w:cstheme="minorHAnsi"/>
                <w:sz w:val="20"/>
                <w:szCs w:val="20"/>
                <w:vertAlign w:val="superscript"/>
              </w:rPr>
            </w:pPr>
            <w:r w:rsidRPr="00D46CAF">
              <w:rPr>
                <w:rFonts w:cstheme="minorHAnsi"/>
                <w:color w:val="000000"/>
              </w:rPr>
              <w:t>39 (20.2%)</w:t>
            </w:r>
          </w:p>
        </w:tc>
        <w:tc>
          <w:tcPr>
            <w:tcW w:w="1276" w:type="dxa"/>
            <w:tcBorders>
              <w:top w:val="nil"/>
              <w:left w:val="nil"/>
              <w:bottom w:val="nil"/>
              <w:right w:val="nil"/>
            </w:tcBorders>
            <w:shd w:val="clear" w:color="auto" w:fill="auto"/>
            <w:tcMar>
              <w:top w:w="15" w:type="dxa"/>
              <w:left w:w="104" w:type="dxa"/>
              <w:bottom w:w="0" w:type="dxa"/>
              <w:right w:w="104" w:type="dxa"/>
            </w:tcMar>
            <w:vAlign w:val="center"/>
          </w:tcPr>
          <w:p w14:paraId="7BB8196A" w14:textId="77777777" w:rsidR="00AB5969" w:rsidRPr="00D46CAF" w:rsidRDefault="00AB5969" w:rsidP="00D20773">
            <w:pPr>
              <w:jc w:val="center"/>
              <w:rPr>
                <w:rFonts w:cstheme="minorHAnsi"/>
                <w:sz w:val="20"/>
                <w:szCs w:val="20"/>
              </w:rPr>
            </w:pPr>
            <w:r w:rsidRPr="00D46CAF">
              <w:rPr>
                <w:rFonts w:cstheme="minorHAnsi"/>
                <w:color w:val="000000"/>
              </w:rPr>
              <w:t>20 (51.3%)</w:t>
            </w:r>
          </w:p>
        </w:tc>
        <w:tc>
          <w:tcPr>
            <w:tcW w:w="1421" w:type="dxa"/>
            <w:tcBorders>
              <w:top w:val="nil"/>
              <w:left w:val="nil"/>
              <w:bottom w:val="nil"/>
              <w:right w:val="nil"/>
            </w:tcBorders>
            <w:shd w:val="clear" w:color="auto" w:fill="auto"/>
            <w:tcMar>
              <w:top w:w="15" w:type="dxa"/>
              <w:left w:w="104" w:type="dxa"/>
              <w:bottom w:w="0" w:type="dxa"/>
              <w:right w:w="104" w:type="dxa"/>
            </w:tcMar>
            <w:vAlign w:val="center"/>
          </w:tcPr>
          <w:p w14:paraId="60B3F204" w14:textId="77777777" w:rsidR="00AB5969" w:rsidRPr="00D46CAF" w:rsidRDefault="00AB5969" w:rsidP="00D20773">
            <w:pPr>
              <w:jc w:val="center"/>
              <w:rPr>
                <w:rFonts w:cstheme="minorHAnsi"/>
                <w:sz w:val="20"/>
                <w:szCs w:val="20"/>
              </w:rPr>
            </w:pPr>
            <w:r w:rsidRPr="00D46CAF">
              <w:rPr>
                <w:rFonts w:cstheme="minorHAnsi"/>
                <w:color w:val="000000"/>
              </w:rPr>
              <w:t>11 (28.2%)</w:t>
            </w:r>
          </w:p>
        </w:tc>
        <w:tc>
          <w:tcPr>
            <w:tcW w:w="1421" w:type="dxa"/>
            <w:tcBorders>
              <w:top w:val="nil"/>
              <w:left w:val="nil"/>
              <w:bottom w:val="nil"/>
              <w:right w:val="nil"/>
            </w:tcBorders>
            <w:shd w:val="clear" w:color="auto" w:fill="auto"/>
            <w:tcMar>
              <w:top w:w="15" w:type="dxa"/>
              <w:left w:w="104" w:type="dxa"/>
              <w:bottom w:w="0" w:type="dxa"/>
              <w:right w:w="104" w:type="dxa"/>
            </w:tcMar>
            <w:vAlign w:val="center"/>
          </w:tcPr>
          <w:p w14:paraId="72585CB1" w14:textId="77777777" w:rsidR="00AB5969" w:rsidRPr="00D46CAF" w:rsidRDefault="00AB5969" w:rsidP="00D20773">
            <w:pPr>
              <w:jc w:val="center"/>
              <w:rPr>
                <w:rFonts w:cstheme="minorHAnsi"/>
                <w:sz w:val="20"/>
                <w:szCs w:val="20"/>
              </w:rPr>
            </w:pPr>
            <w:r w:rsidRPr="00D46CAF">
              <w:rPr>
                <w:rFonts w:cstheme="minorHAnsi"/>
                <w:color w:val="000000"/>
              </w:rPr>
              <w:t>1.8</w:t>
            </w:r>
            <w:r>
              <w:rPr>
                <w:rFonts w:cstheme="minorHAnsi"/>
                <w:color w:val="000000"/>
              </w:rPr>
              <w:t>0</w:t>
            </w:r>
            <w:r w:rsidRPr="00D46CAF">
              <w:rPr>
                <w:rFonts w:cstheme="minorHAnsi"/>
                <w:color w:val="000000"/>
              </w:rPr>
              <w:t xml:space="preserve"> (1,5)</w:t>
            </w:r>
          </w:p>
        </w:tc>
        <w:tc>
          <w:tcPr>
            <w:tcW w:w="1420" w:type="dxa"/>
            <w:tcBorders>
              <w:top w:val="nil"/>
              <w:left w:val="nil"/>
              <w:bottom w:val="nil"/>
              <w:right w:val="nil"/>
            </w:tcBorders>
            <w:shd w:val="clear" w:color="auto" w:fill="auto"/>
            <w:tcMar>
              <w:top w:w="15" w:type="dxa"/>
              <w:left w:w="104" w:type="dxa"/>
              <w:bottom w:w="0" w:type="dxa"/>
              <w:right w:w="104" w:type="dxa"/>
            </w:tcMar>
            <w:vAlign w:val="center"/>
          </w:tcPr>
          <w:p w14:paraId="42E8D8F4" w14:textId="77777777" w:rsidR="00AB5969" w:rsidRPr="00D46CAF" w:rsidRDefault="00AB5969" w:rsidP="00D20773">
            <w:pPr>
              <w:jc w:val="center"/>
              <w:rPr>
                <w:rFonts w:cstheme="minorHAnsi"/>
                <w:sz w:val="20"/>
                <w:szCs w:val="20"/>
              </w:rPr>
            </w:pPr>
            <w:r w:rsidRPr="00D46CAF">
              <w:rPr>
                <w:rFonts w:cstheme="minorHAnsi"/>
                <w:color w:val="000000"/>
              </w:rPr>
              <w:t>15 (38.5%)</w:t>
            </w:r>
          </w:p>
        </w:tc>
        <w:tc>
          <w:tcPr>
            <w:tcW w:w="1148" w:type="dxa"/>
            <w:tcBorders>
              <w:top w:val="nil"/>
              <w:left w:val="nil"/>
              <w:bottom w:val="nil"/>
              <w:right w:val="nil"/>
            </w:tcBorders>
            <w:shd w:val="clear" w:color="auto" w:fill="auto"/>
            <w:tcMar>
              <w:top w:w="15" w:type="dxa"/>
              <w:left w:w="104" w:type="dxa"/>
              <w:bottom w:w="0" w:type="dxa"/>
              <w:right w:w="104" w:type="dxa"/>
            </w:tcMar>
            <w:vAlign w:val="center"/>
          </w:tcPr>
          <w:p w14:paraId="79D7DCC8" w14:textId="77777777" w:rsidR="00AB5969" w:rsidRPr="00D46CAF" w:rsidRDefault="00AB5969" w:rsidP="00D20773">
            <w:pPr>
              <w:jc w:val="center"/>
              <w:rPr>
                <w:rFonts w:cstheme="minorHAnsi"/>
                <w:sz w:val="20"/>
                <w:szCs w:val="20"/>
              </w:rPr>
            </w:pPr>
            <w:r w:rsidRPr="00D46CAF">
              <w:rPr>
                <w:rFonts w:cstheme="minorHAnsi"/>
                <w:color w:val="000000"/>
              </w:rPr>
              <w:t>1 (2.6%)</w:t>
            </w:r>
          </w:p>
        </w:tc>
        <w:tc>
          <w:tcPr>
            <w:tcW w:w="1134" w:type="dxa"/>
            <w:tcBorders>
              <w:top w:val="nil"/>
              <w:left w:val="nil"/>
              <w:bottom w:val="nil"/>
              <w:right w:val="nil"/>
            </w:tcBorders>
            <w:shd w:val="clear" w:color="auto" w:fill="auto"/>
            <w:tcMar>
              <w:top w:w="15" w:type="dxa"/>
              <w:left w:w="104" w:type="dxa"/>
              <w:bottom w:w="0" w:type="dxa"/>
              <w:right w:w="104" w:type="dxa"/>
            </w:tcMar>
            <w:vAlign w:val="center"/>
          </w:tcPr>
          <w:p w14:paraId="693DE42F" w14:textId="77777777" w:rsidR="00AB5969" w:rsidRPr="00D46CAF" w:rsidRDefault="00AB5969" w:rsidP="00D20773">
            <w:pPr>
              <w:jc w:val="center"/>
              <w:rPr>
                <w:rFonts w:cstheme="minorHAnsi"/>
                <w:sz w:val="20"/>
                <w:szCs w:val="20"/>
              </w:rPr>
            </w:pPr>
            <w:r w:rsidRPr="00D46CAF">
              <w:rPr>
                <w:rFonts w:cstheme="minorHAnsi"/>
                <w:color w:val="000000"/>
              </w:rPr>
              <w:t>3 (7.7%)</w:t>
            </w:r>
          </w:p>
        </w:tc>
        <w:tc>
          <w:tcPr>
            <w:tcW w:w="1701" w:type="dxa"/>
            <w:tcBorders>
              <w:top w:val="nil"/>
              <w:left w:val="nil"/>
              <w:bottom w:val="nil"/>
              <w:right w:val="nil"/>
            </w:tcBorders>
            <w:shd w:val="clear" w:color="auto" w:fill="auto"/>
            <w:tcMar>
              <w:top w:w="15" w:type="dxa"/>
              <w:left w:w="104" w:type="dxa"/>
              <w:bottom w:w="0" w:type="dxa"/>
              <w:right w:w="104" w:type="dxa"/>
            </w:tcMar>
            <w:vAlign w:val="center"/>
          </w:tcPr>
          <w:p w14:paraId="0667BEE9" w14:textId="77777777" w:rsidR="00AB5969" w:rsidRPr="00D46CAF" w:rsidRDefault="00AB5969" w:rsidP="00D20773">
            <w:pPr>
              <w:jc w:val="center"/>
              <w:rPr>
                <w:rFonts w:cstheme="minorHAnsi"/>
                <w:sz w:val="20"/>
                <w:szCs w:val="20"/>
              </w:rPr>
            </w:pPr>
            <w:r w:rsidRPr="00D46CAF">
              <w:rPr>
                <w:rFonts w:cstheme="minorHAnsi"/>
                <w:color w:val="000000"/>
              </w:rPr>
              <w:t>10 (25.6%)</w:t>
            </w:r>
          </w:p>
        </w:tc>
        <w:tc>
          <w:tcPr>
            <w:tcW w:w="1961" w:type="dxa"/>
            <w:tcBorders>
              <w:top w:val="nil"/>
              <w:left w:val="nil"/>
              <w:bottom w:val="nil"/>
              <w:right w:val="nil"/>
            </w:tcBorders>
            <w:shd w:val="clear" w:color="auto" w:fill="auto"/>
            <w:tcMar>
              <w:top w:w="15" w:type="dxa"/>
              <w:left w:w="104" w:type="dxa"/>
              <w:bottom w:w="0" w:type="dxa"/>
              <w:right w:w="104" w:type="dxa"/>
            </w:tcMar>
            <w:vAlign w:val="center"/>
          </w:tcPr>
          <w:p w14:paraId="5513B055" w14:textId="77777777" w:rsidR="00AB5969" w:rsidRPr="00D46CAF" w:rsidRDefault="00AB5969" w:rsidP="00D20773">
            <w:pPr>
              <w:jc w:val="center"/>
              <w:rPr>
                <w:rFonts w:cstheme="minorHAnsi"/>
                <w:sz w:val="20"/>
                <w:szCs w:val="20"/>
              </w:rPr>
            </w:pPr>
            <w:r w:rsidRPr="00D46CAF">
              <w:rPr>
                <w:rFonts w:cstheme="minorHAnsi"/>
                <w:color w:val="000000"/>
              </w:rPr>
              <w:t>1.89 (1,5)</w:t>
            </w:r>
          </w:p>
        </w:tc>
      </w:tr>
      <w:tr w:rsidR="00AB5969" w:rsidRPr="000E3393" w14:paraId="7CC71E1B" w14:textId="77777777" w:rsidTr="00D20773">
        <w:trPr>
          <w:trHeight w:val="454"/>
        </w:trPr>
        <w:tc>
          <w:tcPr>
            <w:tcW w:w="1814" w:type="dxa"/>
            <w:tcBorders>
              <w:top w:val="nil"/>
              <w:left w:val="nil"/>
              <w:bottom w:val="single" w:sz="12" w:space="0" w:color="000000"/>
              <w:right w:val="nil"/>
            </w:tcBorders>
            <w:shd w:val="clear" w:color="auto" w:fill="auto"/>
            <w:tcMar>
              <w:top w:w="15" w:type="dxa"/>
              <w:left w:w="104" w:type="dxa"/>
              <w:bottom w:w="0" w:type="dxa"/>
              <w:right w:w="104" w:type="dxa"/>
            </w:tcMar>
            <w:vAlign w:val="center"/>
            <w:hideMark/>
          </w:tcPr>
          <w:p w14:paraId="6761B864" w14:textId="77777777" w:rsidR="00AB5969" w:rsidRPr="00E11B36" w:rsidRDefault="00AB5969" w:rsidP="00D20773">
            <w:pPr>
              <w:rPr>
                <w:sz w:val="20"/>
                <w:szCs w:val="20"/>
                <w:vertAlign w:val="superscript"/>
              </w:rPr>
            </w:pPr>
            <w:proofErr w:type="spellStart"/>
            <w:r>
              <w:rPr>
                <w:sz w:val="20"/>
                <w:szCs w:val="20"/>
              </w:rPr>
              <w:t>America</w:t>
            </w:r>
            <w:r w:rsidRPr="00E11B36">
              <w:rPr>
                <w:sz w:val="24"/>
                <w:szCs w:val="24"/>
                <w:vertAlign w:val="superscript"/>
              </w:rPr>
              <w:t>f</w:t>
            </w:r>
            <w:proofErr w:type="spellEnd"/>
          </w:p>
        </w:tc>
        <w:tc>
          <w:tcPr>
            <w:tcW w:w="1305" w:type="dxa"/>
            <w:tcBorders>
              <w:top w:val="nil"/>
              <w:left w:val="nil"/>
              <w:bottom w:val="single" w:sz="12" w:space="0" w:color="000000"/>
              <w:right w:val="nil"/>
            </w:tcBorders>
            <w:shd w:val="clear" w:color="auto" w:fill="auto"/>
            <w:tcMar>
              <w:top w:w="15" w:type="dxa"/>
              <w:left w:w="104" w:type="dxa"/>
              <w:bottom w:w="0" w:type="dxa"/>
              <w:right w:w="104" w:type="dxa"/>
            </w:tcMar>
            <w:vAlign w:val="center"/>
          </w:tcPr>
          <w:p w14:paraId="2AEBB942" w14:textId="77777777" w:rsidR="00AB5969" w:rsidRPr="00D46CAF" w:rsidRDefault="00AB5969" w:rsidP="00D20773">
            <w:pPr>
              <w:jc w:val="center"/>
              <w:rPr>
                <w:rFonts w:cstheme="minorHAnsi"/>
                <w:sz w:val="20"/>
                <w:szCs w:val="20"/>
              </w:rPr>
            </w:pPr>
            <w:r w:rsidRPr="00D46CAF">
              <w:rPr>
                <w:rFonts w:cstheme="minorHAnsi"/>
                <w:color w:val="000000"/>
              </w:rPr>
              <w:t>10 (5.2%)</w:t>
            </w:r>
          </w:p>
        </w:tc>
        <w:tc>
          <w:tcPr>
            <w:tcW w:w="1276" w:type="dxa"/>
            <w:tcBorders>
              <w:top w:val="nil"/>
              <w:left w:val="nil"/>
              <w:bottom w:val="single" w:sz="12" w:space="0" w:color="000000"/>
              <w:right w:val="nil"/>
            </w:tcBorders>
            <w:shd w:val="clear" w:color="auto" w:fill="auto"/>
            <w:tcMar>
              <w:top w:w="15" w:type="dxa"/>
              <w:left w:w="104" w:type="dxa"/>
              <w:bottom w:w="0" w:type="dxa"/>
              <w:right w:w="104" w:type="dxa"/>
            </w:tcMar>
            <w:vAlign w:val="center"/>
          </w:tcPr>
          <w:p w14:paraId="302EE627" w14:textId="77777777" w:rsidR="00AB5969" w:rsidRPr="00D46CAF" w:rsidRDefault="00AB5969" w:rsidP="00D20773">
            <w:pPr>
              <w:jc w:val="center"/>
              <w:rPr>
                <w:rFonts w:cstheme="minorHAnsi"/>
                <w:sz w:val="20"/>
                <w:szCs w:val="20"/>
              </w:rPr>
            </w:pPr>
            <w:r w:rsidRPr="00D46CAF">
              <w:rPr>
                <w:rFonts w:cstheme="minorHAnsi"/>
                <w:color w:val="000000"/>
              </w:rPr>
              <w:t>6 (60.0%)</w:t>
            </w:r>
          </w:p>
        </w:tc>
        <w:tc>
          <w:tcPr>
            <w:tcW w:w="1421" w:type="dxa"/>
            <w:tcBorders>
              <w:top w:val="nil"/>
              <w:left w:val="nil"/>
              <w:bottom w:val="single" w:sz="12" w:space="0" w:color="000000"/>
              <w:right w:val="nil"/>
            </w:tcBorders>
            <w:shd w:val="clear" w:color="auto" w:fill="auto"/>
            <w:tcMar>
              <w:top w:w="15" w:type="dxa"/>
              <w:left w:w="104" w:type="dxa"/>
              <w:bottom w:w="0" w:type="dxa"/>
              <w:right w:w="104" w:type="dxa"/>
            </w:tcMar>
            <w:vAlign w:val="center"/>
          </w:tcPr>
          <w:p w14:paraId="12404375" w14:textId="77777777" w:rsidR="00AB5969" w:rsidRPr="00D46CAF" w:rsidRDefault="00AB5969" w:rsidP="00D20773">
            <w:pPr>
              <w:jc w:val="center"/>
              <w:rPr>
                <w:rFonts w:cstheme="minorHAnsi"/>
                <w:sz w:val="20"/>
                <w:szCs w:val="20"/>
              </w:rPr>
            </w:pPr>
            <w:r w:rsidRPr="00D46CAF">
              <w:rPr>
                <w:rFonts w:cstheme="minorHAnsi"/>
                <w:color w:val="000000"/>
              </w:rPr>
              <w:t>4 (40.0%)</w:t>
            </w:r>
          </w:p>
        </w:tc>
        <w:tc>
          <w:tcPr>
            <w:tcW w:w="1421" w:type="dxa"/>
            <w:tcBorders>
              <w:top w:val="nil"/>
              <w:left w:val="nil"/>
              <w:bottom w:val="single" w:sz="12" w:space="0" w:color="000000"/>
              <w:right w:val="nil"/>
            </w:tcBorders>
            <w:shd w:val="clear" w:color="auto" w:fill="auto"/>
            <w:tcMar>
              <w:top w:w="15" w:type="dxa"/>
              <w:left w:w="104" w:type="dxa"/>
              <w:bottom w:w="0" w:type="dxa"/>
              <w:right w:w="104" w:type="dxa"/>
            </w:tcMar>
            <w:vAlign w:val="center"/>
          </w:tcPr>
          <w:p w14:paraId="46689873" w14:textId="77777777" w:rsidR="00AB5969" w:rsidRPr="00D46CAF" w:rsidRDefault="00AB5969" w:rsidP="00D20773">
            <w:pPr>
              <w:jc w:val="center"/>
              <w:rPr>
                <w:rFonts w:cstheme="minorHAnsi"/>
                <w:sz w:val="20"/>
                <w:szCs w:val="20"/>
              </w:rPr>
            </w:pPr>
            <w:r w:rsidRPr="00D46CAF">
              <w:rPr>
                <w:rFonts w:cstheme="minorHAnsi"/>
                <w:color w:val="000000"/>
              </w:rPr>
              <w:t>1.33 (1,2)</w:t>
            </w:r>
          </w:p>
        </w:tc>
        <w:tc>
          <w:tcPr>
            <w:tcW w:w="1420" w:type="dxa"/>
            <w:tcBorders>
              <w:top w:val="nil"/>
              <w:left w:val="nil"/>
              <w:bottom w:val="single" w:sz="12" w:space="0" w:color="000000"/>
              <w:right w:val="nil"/>
            </w:tcBorders>
            <w:shd w:val="clear" w:color="auto" w:fill="auto"/>
            <w:tcMar>
              <w:top w:w="15" w:type="dxa"/>
              <w:left w:w="104" w:type="dxa"/>
              <w:bottom w:w="0" w:type="dxa"/>
              <w:right w:w="104" w:type="dxa"/>
            </w:tcMar>
            <w:vAlign w:val="center"/>
          </w:tcPr>
          <w:p w14:paraId="35AD4F6A" w14:textId="77777777" w:rsidR="00AB5969" w:rsidRPr="00D46CAF" w:rsidRDefault="00AB5969" w:rsidP="00D20773">
            <w:pPr>
              <w:jc w:val="center"/>
              <w:rPr>
                <w:rFonts w:cstheme="minorHAnsi"/>
                <w:sz w:val="20"/>
                <w:szCs w:val="20"/>
              </w:rPr>
            </w:pPr>
            <w:r w:rsidRPr="00D46CAF">
              <w:rPr>
                <w:rFonts w:cstheme="minorHAnsi"/>
                <w:color w:val="000000"/>
              </w:rPr>
              <w:t>2 (20.0%)</w:t>
            </w:r>
          </w:p>
        </w:tc>
        <w:tc>
          <w:tcPr>
            <w:tcW w:w="1148" w:type="dxa"/>
            <w:tcBorders>
              <w:top w:val="nil"/>
              <w:left w:val="nil"/>
              <w:bottom w:val="single" w:sz="12" w:space="0" w:color="000000"/>
              <w:right w:val="nil"/>
            </w:tcBorders>
            <w:shd w:val="clear" w:color="auto" w:fill="auto"/>
            <w:tcMar>
              <w:top w:w="15" w:type="dxa"/>
              <w:left w:w="104" w:type="dxa"/>
              <w:bottom w:w="0" w:type="dxa"/>
              <w:right w:w="104" w:type="dxa"/>
            </w:tcMar>
            <w:vAlign w:val="center"/>
          </w:tcPr>
          <w:p w14:paraId="54CC74F7" w14:textId="77777777" w:rsidR="00AB5969" w:rsidRPr="00D46CAF" w:rsidRDefault="00AB5969" w:rsidP="00D20773">
            <w:pPr>
              <w:jc w:val="center"/>
              <w:rPr>
                <w:rFonts w:cstheme="minorHAnsi"/>
                <w:sz w:val="20"/>
                <w:szCs w:val="20"/>
              </w:rPr>
            </w:pPr>
            <w:r w:rsidRPr="00D46CAF">
              <w:rPr>
                <w:rFonts w:cstheme="minorHAnsi"/>
                <w:color w:val="000000"/>
              </w:rPr>
              <w:t>0 (0.0%)</w:t>
            </w:r>
          </w:p>
        </w:tc>
        <w:tc>
          <w:tcPr>
            <w:tcW w:w="1134" w:type="dxa"/>
            <w:tcBorders>
              <w:top w:val="nil"/>
              <w:left w:val="nil"/>
              <w:bottom w:val="single" w:sz="12" w:space="0" w:color="000000"/>
              <w:right w:val="nil"/>
            </w:tcBorders>
            <w:shd w:val="clear" w:color="auto" w:fill="auto"/>
            <w:tcMar>
              <w:top w:w="15" w:type="dxa"/>
              <w:left w:w="104" w:type="dxa"/>
              <w:bottom w:w="0" w:type="dxa"/>
              <w:right w:w="104" w:type="dxa"/>
            </w:tcMar>
            <w:vAlign w:val="center"/>
          </w:tcPr>
          <w:p w14:paraId="42B0114E" w14:textId="77777777" w:rsidR="00AB5969" w:rsidRPr="00D46CAF" w:rsidRDefault="00AB5969" w:rsidP="00D20773">
            <w:pPr>
              <w:jc w:val="center"/>
              <w:rPr>
                <w:rFonts w:cstheme="minorHAnsi"/>
                <w:sz w:val="20"/>
                <w:szCs w:val="20"/>
              </w:rPr>
            </w:pPr>
            <w:r w:rsidRPr="00D46CAF">
              <w:rPr>
                <w:rFonts w:cstheme="minorHAnsi"/>
                <w:color w:val="000000"/>
              </w:rPr>
              <w:t>2 (20.0%)</w:t>
            </w:r>
          </w:p>
        </w:tc>
        <w:tc>
          <w:tcPr>
            <w:tcW w:w="1701" w:type="dxa"/>
            <w:tcBorders>
              <w:top w:val="nil"/>
              <w:left w:val="nil"/>
              <w:bottom w:val="single" w:sz="12" w:space="0" w:color="000000"/>
              <w:right w:val="nil"/>
            </w:tcBorders>
            <w:shd w:val="clear" w:color="auto" w:fill="auto"/>
            <w:tcMar>
              <w:top w:w="15" w:type="dxa"/>
              <w:left w:w="104" w:type="dxa"/>
              <w:bottom w:w="0" w:type="dxa"/>
              <w:right w:w="104" w:type="dxa"/>
            </w:tcMar>
            <w:vAlign w:val="center"/>
          </w:tcPr>
          <w:p w14:paraId="7794B48D" w14:textId="77777777" w:rsidR="00AB5969" w:rsidRPr="00D46CAF" w:rsidRDefault="00AB5969" w:rsidP="00D20773">
            <w:pPr>
              <w:jc w:val="center"/>
              <w:rPr>
                <w:rFonts w:cstheme="minorHAnsi"/>
                <w:sz w:val="20"/>
                <w:szCs w:val="20"/>
              </w:rPr>
            </w:pPr>
            <w:r w:rsidRPr="00D46CAF">
              <w:rPr>
                <w:rFonts w:cstheme="minorHAnsi"/>
                <w:color w:val="000000"/>
              </w:rPr>
              <w:t>1 (10.0%)</w:t>
            </w:r>
          </w:p>
        </w:tc>
        <w:tc>
          <w:tcPr>
            <w:tcW w:w="1961" w:type="dxa"/>
            <w:tcBorders>
              <w:top w:val="nil"/>
              <w:left w:val="nil"/>
              <w:bottom w:val="single" w:sz="12" w:space="0" w:color="000000"/>
              <w:right w:val="nil"/>
            </w:tcBorders>
            <w:shd w:val="clear" w:color="auto" w:fill="auto"/>
            <w:tcMar>
              <w:top w:w="15" w:type="dxa"/>
              <w:left w:w="104" w:type="dxa"/>
              <w:bottom w:w="0" w:type="dxa"/>
              <w:right w:w="104" w:type="dxa"/>
            </w:tcMar>
            <w:vAlign w:val="center"/>
          </w:tcPr>
          <w:p w14:paraId="1EDF6F8C" w14:textId="77777777" w:rsidR="00AB5969" w:rsidRPr="00D46CAF" w:rsidRDefault="00AB5969" w:rsidP="00D20773">
            <w:pPr>
              <w:jc w:val="center"/>
              <w:rPr>
                <w:rFonts w:cstheme="minorHAnsi"/>
                <w:sz w:val="20"/>
                <w:szCs w:val="20"/>
              </w:rPr>
            </w:pPr>
            <w:r w:rsidRPr="00D46CAF">
              <w:rPr>
                <w:rFonts w:cstheme="minorHAnsi"/>
                <w:color w:val="000000"/>
              </w:rPr>
              <w:t>2</w:t>
            </w:r>
            <w:r>
              <w:rPr>
                <w:rFonts w:cstheme="minorHAnsi"/>
                <w:color w:val="000000"/>
              </w:rPr>
              <w:t>.00</w:t>
            </w:r>
            <w:r w:rsidRPr="00D46CAF">
              <w:rPr>
                <w:rFonts w:cstheme="minorHAnsi"/>
                <w:color w:val="000000"/>
              </w:rPr>
              <w:t xml:space="preserve"> (1,3)</w:t>
            </w:r>
          </w:p>
        </w:tc>
      </w:tr>
    </w:tbl>
    <w:p w14:paraId="7DDAE040" w14:textId="77777777" w:rsidR="00AB5969" w:rsidRDefault="00AB5969" w:rsidP="00D20773">
      <w:pPr>
        <w:rPr>
          <w:rFonts w:cstheme="minorHAnsi"/>
          <w:b/>
        </w:rPr>
      </w:pPr>
    </w:p>
    <w:p w14:paraId="50D9ED90" w14:textId="77777777" w:rsidR="00AB5969" w:rsidRDefault="00AB5969" w:rsidP="00D20773">
      <w:pPr>
        <w:rPr>
          <w:rFonts w:cstheme="minorHAnsi"/>
        </w:rPr>
      </w:pPr>
      <w:r>
        <w:rPr>
          <w:rFonts w:cstheme="minorHAnsi"/>
          <w:b/>
        </w:rPr>
        <w:t xml:space="preserve">Appendix 3 </w:t>
      </w:r>
      <w:r w:rsidRPr="00E8555F">
        <w:rPr>
          <w:rFonts w:cstheme="minorHAnsi"/>
          <w:b/>
        </w:rPr>
        <w:t xml:space="preserve">Table </w:t>
      </w:r>
      <w:r>
        <w:rPr>
          <w:rFonts w:cstheme="minorHAnsi"/>
          <w:b/>
        </w:rPr>
        <w:t>1</w:t>
      </w:r>
      <w:r w:rsidRPr="00E8555F">
        <w:rPr>
          <w:rFonts w:cstheme="minorHAnsi"/>
          <w:b/>
        </w:rPr>
        <w:t>.</w:t>
      </w:r>
      <w:r>
        <w:rPr>
          <w:rFonts w:cstheme="minorHAnsi"/>
        </w:rPr>
        <w:t xml:space="preserve"> Demographics, pass/fail rates, and number of attempts for all candidates, grouped by the region in which they undertook their training, who sat the written component of the COE between 2014 and 2019. When a candidate had multiple attempts at the COE during the study period, only the most recent attempt is included in the presented data. (a) </w:t>
      </w:r>
      <w:r w:rsidRPr="00D46CAF">
        <w:rPr>
          <w:rFonts w:cstheme="minorHAnsi"/>
        </w:rPr>
        <w:t xml:space="preserve">Due to low numbers of candidates from some countries the data have been </w:t>
      </w:r>
      <w:r>
        <w:rPr>
          <w:rFonts w:cstheme="minorHAnsi"/>
        </w:rPr>
        <w:t>grouped</w:t>
      </w:r>
      <w:r w:rsidRPr="00D46CAF">
        <w:rPr>
          <w:rFonts w:cstheme="minorHAnsi"/>
        </w:rPr>
        <w:t xml:space="preserve"> into regions to protect the identity of individuals</w:t>
      </w:r>
      <w:r>
        <w:rPr>
          <w:rFonts w:cstheme="minorHAnsi"/>
        </w:rPr>
        <w:t xml:space="preserve">. (b) Percentage of the regional total. (c) </w:t>
      </w:r>
      <w:r w:rsidRPr="00D46CAF">
        <w:rPr>
          <w:rFonts w:cstheme="minorHAnsi"/>
        </w:rPr>
        <w:t>Ireland, Poland, Scotland, United Kingdom</w:t>
      </w:r>
      <w:r>
        <w:rPr>
          <w:rFonts w:cstheme="minorHAnsi"/>
        </w:rPr>
        <w:t xml:space="preserve">. (d) </w:t>
      </w:r>
      <w:r w:rsidRPr="00D46CAF">
        <w:rPr>
          <w:rFonts w:cstheme="minorHAnsi"/>
        </w:rPr>
        <w:t>Ghana, Nigeria, South Africa</w:t>
      </w:r>
      <w:r>
        <w:rPr>
          <w:rFonts w:cstheme="minorHAnsi"/>
        </w:rPr>
        <w:t xml:space="preserve">. (e) </w:t>
      </w:r>
      <w:r w:rsidRPr="00D46CAF">
        <w:rPr>
          <w:rFonts w:cstheme="minorHAnsi"/>
        </w:rPr>
        <w:t>Hong Kong, India, Iran, Korea, Malaysia, Nepal, Pakistan, Philippines, Singapore</w:t>
      </w:r>
      <w:r>
        <w:rPr>
          <w:rFonts w:cstheme="minorHAnsi"/>
        </w:rPr>
        <w:t xml:space="preserve">. (f) </w:t>
      </w:r>
      <w:r w:rsidRPr="00D46CAF">
        <w:rPr>
          <w:rFonts w:cstheme="minorHAnsi"/>
        </w:rPr>
        <w:t>Canada, Columbia, USA</w:t>
      </w:r>
      <w:r>
        <w:rPr>
          <w:rFonts w:cstheme="minorHAnsi"/>
        </w:rPr>
        <w:t>.</w:t>
      </w:r>
    </w:p>
    <w:p w14:paraId="537B7FF5" w14:textId="77777777" w:rsidR="00AB5969" w:rsidRDefault="00AB5969" w:rsidP="00D20773">
      <w:pPr>
        <w:pStyle w:val="ListParagraph"/>
        <w:spacing w:after="240" w:line="360" w:lineRule="auto"/>
        <w:ind w:left="0"/>
        <w:rPr>
          <w:rFonts w:cstheme="minorHAnsi"/>
        </w:rPr>
      </w:pPr>
    </w:p>
    <w:p w14:paraId="43E8C141" w14:textId="77777777" w:rsidR="00AB5969" w:rsidRDefault="00AB5969" w:rsidP="00D20773">
      <w:pPr>
        <w:pStyle w:val="ListParagraph"/>
        <w:spacing w:after="240" w:line="360" w:lineRule="auto"/>
        <w:ind w:left="0"/>
        <w:rPr>
          <w:rFonts w:cstheme="minorHAnsi"/>
        </w:rPr>
        <w:sectPr w:rsidR="00AB5969" w:rsidSect="00BA5DC9">
          <w:pgSz w:w="16838" w:h="11906" w:orient="landscape" w:code="9"/>
          <w:pgMar w:top="1440" w:right="1440" w:bottom="1440" w:left="1440" w:header="720" w:footer="720" w:gutter="0"/>
          <w:cols w:space="720"/>
          <w:docGrid w:linePitch="360"/>
        </w:sectPr>
      </w:pPr>
    </w:p>
    <w:p w14:paraId="75B443E5" w14:textId="4A05B738" w:rsidR="00AB5969" w:rsidRDefault="00AB5969" w:rsidP="00D20773">
      <w:pPr>
        <w:pStyle w:val="ListParagraph"/>
        <w:spacing w:after="240" w:line="480" w:lineRule="auto"/>
        <w:ind w:left="0"/>
        <w:rPr>
          <w:rFonts w:cstheme="minorHAnsi"/>
        </w:rPr>
      </w:pPr>
      <w:r w:rsidRPr="005A7BEA">
        <w:rPr>
          <w:lang w:val="en-AU"/>
        </w:rPr>
        <w:lastRenderedPageBreak/>
        <w:t xml:space="preserve">The number of candidates sitting the COE each administration has remained relatively stable across the 12 administrations. </w:t>
      </w:r>
      <w:r>
        <w:rPr>
          <w:rFonts w:cstheme="minorHAnsi"/>
        </w:rPr>
        <w:t>The average number of candidates sitting the MCQ exam was 21.4 (range: 13 to 33), with an average of 7.3 (range: 4 to 15) candidates repeating the exam each administration (</w:t>
      </w:r>
      <w:r w:rsidRPr="00BC3873">
        <w:rPr>
          <w:rFonts w:cstheme="minorHAnsi"/>
        </w:rPr>
        <w:t xml:space="preserve">Table </w:t>
      </w:r>
      <w:r w:rsidR="000733F3">
        <w:rPr>
          <w:rFonts w:cstheme="minorHAnsi"/>
        </w:rPr>
        <w:t>1</w:t>
      </w:r>
      <w:r>
        <w:rPr>
          <w:rFonts w:cstheme="minorHAnsi"/>
        </w:rPr>
        <w:t>). The average number of candidates sitting the SAQ exam was 20.7 (range: 13 to 32), with an average of 6.6 (range: 1 to 12) candidates repeating the exam each administration (</w:t>
      </w:r>
      <w:r w:rsidRPr="00BC3873">
        <w:rPr>
          <w:rFonts w:cstheme="minorHAnsi"/>
        </w:rPr>
        <w:t xml:space="preserve">Table </w:t>
      </w:r>
      <w:r w:rsidR="000733F3">
        <w:rPr>
          <w:rFonts w:cstheme="minorHAnsi"/>
        </w:rPr>
        <w:t>2</w:t>
      </w:r>
      <w:r>
        <w:rPr>
          <w:rFonts w:cstheme="minorHAnsi"/>
        </w:rPr>
        <w:t>). Around half of all candidates (n = 97; 50.3%) were from Europe, the majority being from the United Kingdom (</w:t>
      </w:r>
      <w:r w:rsidR="000733F3">
        <w:rPr>
          <w:rFonts w:cstheme="minorHAnsi"/>
        </w:rPr>
        <w:t xml:space="preserve">Appendix 3 </w:t>
      </w:r>
      <w:r w:rsidRPr="00BC3873">
        <w:rPr>
          <w:rFonts w:cstheme="minorHAnsi"/>
        </w:rPr>
        <w:t>Table 1</w:t>
      </w:r>
      <w:r>
        <w:rPr>
          <w:rFonts w:cstheme="minorHAnsi"/>
        </w:rPr>
        <w:t>). The other regions represented in the candidate composition were: Africa (n = 47; 24.4%), with the majority from South Africa; Asia/Subcontinent/Middle East (n = 39; 20.2%), with the majority from India and Hong Kong; and America (n = 10; 5.2%), with the majority from USA. Interestingly there was a much higher pass rate across all attempts in the candidates from Europe (82.5%) compared to those candidates from America (60.0%), Africa (57.4%), or Asia (51.3%) (</w:t>
      </w:r>
      <w:r>
        <w:t>χ</w:t>
      </w:r>
      <w:r>
        <w:rPr>
          <w:vertAlign w:val="superscript"/>
        </w:rPr>
        <w:t>2</w:t>
      </w:r>
      <w:r>
        <w:rPr>
          <w:rFonts w:cstheme="minorHAnsi"/>
        </w:rPr>
        <w:t xml:space="preserve"> = 17.24, p &lt; 0.001). Those candidates from Europe who failed were more likely to fail either the MCQ or the SAQ exam only, whereas candidates from other regions were more likely to fail both exams (</w:t>
      </w:r>
      <w:r>
        <w:t>χ</w:t>
      </w:r>
      <w:r>
        <w:rPr>
          <w:rFonts w:cstheme="minorHAnsi"/>
          <w:vertAlign w:val="superscript"/>
        </w:rPr>
        <w:t>2</w:t>
      </w:r>
      <w:r>
        <w:rPr>
          <w:rFonts w:cstheme="minorHAnsi"/>
        </w:rPr>
        <w:t xml:space="preserve"> = 26.46, p &lt; 0.001). Overall, 31 out of 60 candidates who failed in their most recent attempt failed both the MCQ and SAQ exams. There was no trend towards candidates being more likely to fail the MCQ or the SAQ with 15 and 14 failing each </w:t>
      </w:r>
      <w:proofErr w:type="gramStart"/>
      <w:r>
        <w:rPr>
          <w:rFonts w:cstheme="minorHAnsi"/>
        </w:rPr>
        <w:t>exam</w:t>
      </w:r>
      <w:proofErr w:type="gramEnd"/>
      <w:r>
        <w:rPr>
          <w:rFonts w:cstheme="minorHAnsi"/>
        </w:rPr>
        <w:t xml:space="preserve"> respectively. This suggests that the two exams are assessing different aspects of the candidates’ knowledge, as intended by their design (a clinical science focus for the MCQ exam and a diagnosis and management focus for the SAQ exam; </w:t>
      </w:r>
      <w:r w:rsidRPr="00BC3873">
        <w:rPr>
          <w:rFonts w:cstheme="minorHAnsi"/>
        </w:rPr>
        <w:t>see Appendix 1 and 2</w:t>
      </w:r>
      <w:r>
        <w:rPr>
          <w:rFonts w:cstheme="minorHAnsi"/>
        </w:rPr>
        <w:t xml:space="preserve">). </w:t>
      </w:r>
    </w:p>
    <w:p w14:paraId="1F9D931E" w14:textId="1D958864" w:rsidR="00AB5969" w:rsidRDefault="00AB5969" w:rsidP="00D20773">
      <w:pPr>
        <w:pStyle w:val="ListParagraph"/>
        <w:spacing w:after="240" w:line="480" w:lineRule="auto"/>
        <w:ind w:left="0"/>
        <w:rPr>
          <w:rFonts w:cstheme="minorHAnsi"/>
        </w:rPr>
      </w:pPr>
      <w:r>
        <w:rPr>
          <w:rFonts w:cstheme="minorHAnsi"/>
        </w:rPr>
        <w:t xml:space="preserve">The year of graduation was recorded for 103 of the candidates. The average number of years between graduating in their home country to sitting the COE was 9.2 years (range 1 to 32 years). </w:t>
      </w:r>
      <w:proofErr w:type="gramStart"/>
      <w:r>
        <w:rPr>
          <w:rFonts w:cstheme="minorHAnsi"/>
        </w:rPr>
        <w:t>Seventy two</w:t>
      </w:r>
      <w:proofErr w:type="gramEnd"/>
      <w:r>
        <w:rPr>
          <w:rFonts w:cstheme="minorHAnsi"/>
        </w:rPr>
        <w:t xml:space="preserve"> candidates passed both the MCQ and SAQ exams, with an average time since graduation of 8.4 years (range 1 to 32 years). The 31 candidates who failed at least one of the MCQ and SAQ exams had a slightly longer average time since graduation of 10.8 years (range 3 to 27 years). Overall, however, there was no significant difference in the average time since graduation </w:t>
      </w:r>
      <w:r>
        <w:rPr>
          <w:rFonts w:cstheme="minorHAnsi"/>
        </w:rPr>
        <w:lastRenderedPageBreak/>
        <w:t xml:space="preserve">between the candidates who passed and those who failed the COE (df = 101, p = 0.081; unpaired t-test). </w:t>
      </w:r>
    </w:p>
    <w:p w14:paraId="7B21A12A" w14:textId="77777777" w:rsidR="00AB5969" w:rsidRDefault="00AB5969" w:rsidP="00D20773"/>
    <w:p w14:paraId="5430BC19" w14:textId="77777777" w:rsidR="00AB5969" w:rsidRDefault="00AB5969" w:rsidP="00D20773"/>
    <w:p w14:paraId="6CACDE06" w14:textId="77777777" w:rsidR="00AB5969" w:rsidRDefault="00AB5969" w:rsidP="00D20773"/>
    <w:p w14:paraId="3ECE8F4E" w14:textId="77777777" w:rsidR="007E6090" w:rsidRDefault="007E6090"/>
    <w:sectPr w:rsidR="007E6090" w:rsidSect="00D2077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5908DF" w14:textId="77777777" w:rsidR="00D20773" w:rsidRDefault="00D20773">
      <w:pPr>
        <w:spacing w:after="0" w:line="240" w:lineRule="auto"/>
      </w:pPr>
      <w:r>
        <w:separator/>
      </w:r>
    </w:p>
  </w:endnote>
  <w:endnote w:type="continuationSeparator" w:id="0">
    <w:p w14:paraId="2637DA2E" w14:textId="77777777" w:rsidR="00D20773" w:rsidRDefault="00D20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8001580"/>
      <w:docPartObj>
        <w:docPartGallery w:val="Page Numbers (Bottom of Page)"/>
        <w:docPartUnique/>
      </w:docPartObj>
    </w:sdtPr>
    <w:sdtEndPr>
      <w:rPr>
        <w:noProof/>
      </w:rPr>
    </w:sdtEndPr>
    <w:sdtContent>
      <w:p w14:paraId="5BFBD7D4" w14:textId="77777777" w:rsidR="00D20773" w:rsidRDefault="00D207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93C46B" w14:textId="77777777" w:rsidR="00D20773" w:rsidRDefault="00D20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B17BAE" w14:textId="77777777" w:rsidR="00D20773" w:rsidRDefault="00D20773">
      <w:pPr>
        <w:spacing w:after="0" w:line="240" w:lineRule="auto"/>
      </w:pPr>
      <w:r>
        <w:separator/>
      </w:r>
    </w:p>
  </w:footnote>
  <w:footnote w:type="continuationSeparator" w:id="0">
    <w:p w14:paraId="6DB847DF" w14:textId="77777777" w:rsidR="00D20773" w:rsidRDefault="00D207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09276B"/>
    <w:multiLevelType w:val="hybridMultilevel"/>
    <w:tmpl w:val="5DDE62C6"/>
    <w:lvl w:ilvl="0" w:tplc="A5E6EAE0">
      <w:start w:val="1"/>
      <w:numFmt w:val="decimal"/>
      <w:lvlText w:val="%1."/>
      <w:lvlJc w:val="left"/>
      <w:pPr>
        <w:ind w:left="720" w:hanging="360"/>
      </w:pPr>
      <w:rPr>
        <w:rFonts w:asciiTheme="minorHAnsi" w:eastAsiaTheme="minorHAnsi" w:hAnsiTheme="minorHAnsi" w:cstheme="minorBidi"/>
      </w:rPr>
    </w:lvl>
    <w:lvl w:ilvl="1" w:tplc="EC16AE34">
      <w:start w:val="4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5C1EFD"/>
    <w:multiLevelType w:val="hybridMultilevel"/>
    <w:tmpl w:val="A38236B2"/>
    <w:lvl w:ilvl="0" w:tplc="0C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AB5969"/>
    <w:rsid w:val="000733F3"/>
    <w:rsid w:val="0009628C"/>
    <w:rsid w:val="001C5F58"/>
    <w:rsid w:val="001F0C1B"/>
    <w:rsid w:val="0022561B"/>
    <w:rsid w:val="00286B8A"/>
    <w:rsid w:val="00351225"/>
    <w:rsid w:val="003A1CFC"/>
    <w:rsid w:val="004F5F30"/>
    <w:rsid w:val="005B15C3"/>
    <w:rsid w:val="007E6090"/>
    <w:rsid w:val="00AB5969"/>
    <w:rsid w:val="00B759C9"/>
    <w:rsid w:val="00BA5DC9"/>
    <w:rsid w:val="00BD002A"/>
    <w:rsid w:val="00D20773"/>
    <w:rsid w:val="00D442DB"/>
    <w:rsid w:val="00D82BA0"/>
    <w:rsid w:val="00F143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643E6"/>
  <w15:chartTrackingRefBased/>
  <w15:docId w15:val="{844758F8-6AF3-4D7E-860D-42D66786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96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969"/>
    <w:pPr>
      <w:spacing w:after="0" w:line="240" w:lineRule="auto"/>
      <w:ind w:left="720"/>
    </w:pPr>
    <w:rPr>
      <w:rFonts w:ascii="Calibri" w:hAnsi="Calibri" w:cs="Calibri"/>
    </w:rPr>
  </w:style>
  <w:style w:type="paragraph" w:styleId="NormalWeb">
    <w:name w:val="Normal (Web)"/>
    <w:basedOn w:val="Normal"/>
    <w:uiPriority w:val="99"/>
    <w:unhideWhenUsed/>
    <w:rsid w:val="00AB5969"/>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Hyperlink">
    <w:name w:val="Hyperlink"/>
    <w:basedOn w:val="DefaultParagraphFont"/>
    <w:uiPriority w:val="99"/>
    <w:unhideWhenUsed/>
    <w:rsid w:val="00AB5969"/>
    <w:rPr>
      <w:rFonts w:ascii="Arial" w:hAnsi="Arial" w:cs="Arial" w:hint="default"/>
      <w:b/>
      <w:bCs/>
      <w:color w:val="0085A2"/>
      <w:sz w:val="18"/>
      <w:szCs w:val="18"/>
      <w:u w:val="single"/>
    </w:rPr>
  </w:style>
  <w:style w:type="character" w:customStyle="1" w:styleId="yiv4504891383msonormalChar">
    <w:name w:val="yiv4504891383msonormal Char"/>
    <w:basedOn w:val="DefaultParagraphFont"/>
    <w:link w:val="yiv4504891383msonormal"/>
    <w:locked/>
    <w:rsid w:val="00AB5969"/>
  </w:style>
  <w:style w:type="paragraph" w:customStyle="1" w:styleId="yiv4504891383msonormal">
    <w:name w:val="yiv4504891383msonormal"/>
    <w:basedOn w:val="Normal"/>
    <w:link w:val="yiv4504891383msonormalChar"/>
    <w:rsid w:val="00AB5969"/>
    <w:pPr>
      <w:spacing w:before="100" w:beforeAutospacing="1" w:after="100" w:afterAutospacing="1" w:line="240" w:lineRule="auto"/>
    </w:pPr>
    <w:rPr>
      <w:lang w:val="en-AU"/>
    </w:rPr>
  </w:style>
  <w:style w:type="character" w:styleId="CommentReference">
    <w:name w:val="annotation reference"/>
    <w:basedOn w:val="DefaultParagraphFont"/>
    <w:uiPriority w:val="99"/>
    <w:semiHidden/>
    <w:unhideWhenUsed/>
    <w:rsid w:val="00AB5969"/>
    <w:rPr>
      <w:sz w:val="16"/>
      <w:szCs w:val="16"/>
    </w:rPr>
  </w:style>
  <w:style w:type="paragraph" w:styleId="CommentText">
    <w:name w:val="annotation text"/>
    <w:basedOn w:val="Normal"/>
    <w:link w:val="CommentTextChar"/>
    <w:uiPriority w:val="99"/>
    <w:semiHidden/>
    <w:unhideWhenUsed/>
    <w:rsid w:val="00AB5969"/>
    <w:pPr>
      <w:spacing w:line="240" w:lineRule="auto"/>
    </w:pPr>
    <w:rPr>
      <w:sz w:val="20"/>
      <w:szCs w:val="20"/>
      <w:lang w:val="en-AU"/>
    </w:rPr>
  </w:style>
  <w:style w:type="character" w:customStyle="1" w:styleId="CommentTextChar">
    <w:name w:val="Comment Text Char"/>
    <w:basedOn w:val="DefaultParagraphFont"/>
    <w:link w:val="CommentText"/>
    <w:uiPriority w:val="99"/>
    <w:semiHidden/>
    <w:rsid w:val="00AB5969"/>
    <w:rPr>
      <w:sz w:val="20"/>
      <w:szCs w:val="20"/>
    </w:rPr>
  </w:style>
  <w:style w:type="paragraph" w:customStyle="1" w:styleId="EndNoteBibliography">
    <w:name w:val="EndNote Bibliography"/>
    <w:basedOn w:val="Normal"/>
    <w:link w:val="EndNoteBibliographyChar"/>
    <w:rsid w:val="00AB596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B5969"/>
    <w:rPr>
      <w:rFonts w:ascii="Calibri" w:hAnsi="Calibri" w:cs="Calibri"/>
      <w:noProof/>
      <w:lang w:val="en-US"/>
    </w:rPr>
  </w:style>
  <w:style w:type="paragraph" w:styleId="NoSpacing">
    <w:name w:val="No Spacing"/>
    <w:uiPriority w:val="1"/>
    <w:qFormat/>
    <w:rsid w:val="00AB5969"/>
    <w:pPr>
      <w:spacing w:after="0"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AB59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969"/>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AB5969"/>
    <w:rPr>
      <w:b/>
      <w:bCs/>
      <w:lang w:val="en-US"/>
    </w:rPr>
  </w:style>
  <w:style w:type="character" w:customStyle="1" w:styleId="CommentSubjectChar">
    <w:name w:val="Comment Subject Char"/>
    <w:basedOn w:val="CommentTextChar"/>
    <w:link w:val="CommentSubject"/>
    <w:uiPriority w:val="99"/>
    <w:semiHidden/>
    <w:rsid w:val="00AB5969"/>
    <w:rPr>
      <w:b/>
      <w:bCs/>
      <w:sz w:val="20"/>
      <w:szCs w:val="20"/>
      <w:lang w:val="en-US"/>
    </w:rPr>
  </w:style>
  <w:style w:type="paragraph" w:customStyle="1" w:styleId="EndNoteBibliographyTitle">
    <w:name w:val="EndNote Bibliography Title"/>
    <w:basedOn w:val="Normal"/>
    <w:link w:val="EndNoteBibliographyTitleChar"/>
    <w:rsid w:val="00AB596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B5969"/>
    <w:rPr>
      <w:rFonts w:ascii="Calibri" w:hAnsi="Calibri" w:cs="Calibri"/>
      <w:noProof/>
      <w:lang w:val="en-US"/>
    </w:rPr>
  </w:style>
  <w:style w:type="character" w:styleId="LineNumber">
    <w:name w:val="line number"/>
    <w:basedOn w:val="DefaultParagraphFont"/>
    <w:uiPriority w:val="99"/>
    <w:semiHidden/>
    <w:unhideWhenUsed/>
    <w:rsid w:val="00AB5969"/>
  </w:style>
  <w:style w:type="paragraph" w:styleId="Header">
    <w:name w:val="header"/>
    <w:basedOn w:val="Normal"/>
    <w:link w:val="HeaderChar"/>
    <w:uiPriority w:val="99"/>
    <w:unhideWhenUsed/>
    <w:rsid w:val="00AB59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5969"/>
    <w:rPr>
      <w:lang w:val="en-US"/>
    </w:rPr>
  </w:style>
  <w:style w:type="paragraph" w:styleId="Footer">
    <w:name w:val="footer"/>
    <w:basedOn w:val="Normal"/>
    <w:link w:val="FooterChar"/>
    <w:uiPriority w:val="99"/>
    <w:unhideWhenUsed/>
    <w:rsid w:val="00AB59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596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2322</Words>
  <Characters>13238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Backhouse</dc:creator>
  <cp:keywords/>
  <dc:description/>
  <cp:lastModifiedBy>Isabelle Jalbert</cp:lastModifiedBy>
  <cp:revision>3</cp:revision>
  <dcterms:created xsi:type="dcterms:W3CDTF">2020-11-29T22:49:00Z</dcterms:created>
  <dcterms:modified xsi:type="dcterms:W3CDTF">2020-11-29T22:51:00Z</dcterms:modified>
</cp:coreProperties>
</file>