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B75" w:rsidRPr="008E0481" w:rsidRDefault="007107AA" w:rsidP="008E0481">
      <w:pPr>
        <w:autoSpaceDE w:val="0"/>
        <w:autoSpaceDN w:val="0"/>
        <w:adjustRightInd w:val="0"/>
        <w:ind w:firstLineChars="200" w:firstLine="420"/>
        <w:jc w:val="center"/>
        <w:rPr>
          <w:rFonts w:ascii="Times New Roman" w:hAnsi="Times New Roman" w:cs="Times New Roman"/>
          <w:color w:val="000000" w:themeColor="text1"/>
          <w:kern w:val="0"/>
          <w:szCs w:val="21"/>
        </w:rPr>
      </w:pPr>
      <w:r w:rsidRPr="008E0481"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>Table S</w:t>
      </w:r>
      <w:r w:rsidR="00CE2828" w:rsidRPr="008E0481">
        <w:rPr>
          <w:rFonts w:ascii="Times New Roman" w:hAnsi="Times New Roman" w:cs="Times New Roman"/>
          <w:color w:val="000000" w:themeColor="text1"/>
          <w:kern w:val="0"/>
          <w:szCs w:val="21"/>
        </w:rPr>
        <w:t>3 Supervisor evaluation form</w:t>
      </w:r>
    </w:p>
    <w:p w:rsidR="00B95B75" w:rsidRPr="008E0481" w:rsidRDefault="00B95B75" w:rsidP="008E0481">
      <w:pPr>
        <w:autoSpaceDE w:val="0"/>
        <w:autoSpaceDN w:val="0"/>
        <w:adjustRightInd w:val="0"/>
        <w:ind w:firstLineChars="200" w:firstLine="480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tbl>
      <w:tblPr>
        <w:tblW w:w="976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5085"/>
        <w:gridCol w:w="903"/>
        <w:gridCol w:w="617"/>
        <w:gridCol w:w="684"/>
        <w:gridCol w:w="629"/>
        <w:gridCol w:w="494"/>
        <w:gridCol w:w="195"/>
      </w:tblGrid>
      <w:tr w:rsidR="00B95B75" w:rsidRPr="008E0481" w:rsidTr="008E0481">
        <w:trPr>
          <w:gridAfter w:val="1"/>
          <w:wAfter w:w="195" w:type="dxa"/>
          <w:trHeight w:val="39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</w:tcBorders>
          </w:tcPr>
          <w:p w:rsidR="00B95B75" w:rsidRPr="008E0481" w:rsidRDefault="00CE2828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szCs w:val="21"/>
              </w:rPr>
            </w:pPr>
            <w:r w:rsidRPr="008E0481">
              <w:rPr>
                <w:rFonts w:ascii="Times New Roman" w:eastAsia="黑体" w:hAnsi="Times New Roman" w:cs="Times New Roman" w:hint="eastAsia"/>
                <w:szCs w:val="21"/>
              </w:rPr>
              <w:t>Indicators</w:t>
            </w:r>
          </w:p>
        </w:tc>
        <w:tc>
          <w:tcPr>
            <w:tcW w:w="5085" w:type="dxa"/>
            <w:vMerge w:val="restart"/>
            <w:tcBorders>
              <w:top w:val="single" w:sz="4" w:space="0" w:color="auto"/>
              <w:bottom w:val="nil"/>
            </w:tcBorders>
          </w:tcPr>
          <w:p w:rsidR="00B95B75" w:rsidRPr="008E0481" w:rsidRDefault="00CE282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8E0481">
              <w:rPr>
                <w:rFonts w:ascii="Times New Roman" w:eastAsia="黑体" w:hAnsi="Times New Roman" w:cs="Times New Roman" w:hint="eastAsia"/>
                <w:szCs w:val="21"/>
              </w:rPr>
              <w:t>Observation points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</w:tcBorders>
          </w:tcPr>
          <w:p w:rsidR="00B95B75" w:rsidRPr="008E0481" w:rsidRDefault="00CE2828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8E0481">
              <w:rPr>
                <w:rFonts w:ascii="Times New Roman" w:eastAsia="黑体" w:hAnsi="Times New Roman" w:cs="Times New Roman"/>
                <w:szCs w:val="21"/>
              </w:rPr>
              <w:t>Weight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5B75" w:rsidRPr="008E0481" w:rsidRDefault="007408B8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hyperlink r:id="rId8" w:history="1">
              <w:r w:rsidR="00CE2828" w:rsidRPr="008E0481">
                <w:rPr>
                  <w:rFonts w:ascii="Times New Roman" w:eastAsia="黑体" w:hAnsi="Times New Roman" w:cs="Times New Roman"/>
                  <w:szCs w:val="21"/>
                </w:rPr>
                <w:t>Evaluation grade</w:t>
              </w:r>
            </w:hyperlink>
          </w:p>
        </w:tc>
      </w:tr>
      <w:tr w:rsidR="00B95B75" w:rsidRPr="008E0481" w:rsidTr="008E0481">
        <w:trPr>
          <w:trHeight w:val="398"/>
          <w:jc w:val="center"/>
        </w:trPr>
        <w:tc>
          <w:tcPr>
            <w:tcW w:w="1157" w:type="dxa"/>
            <w:vMerge/>
            <w:tcBorders>
              <w:bottom w:val="single" w:sz="4" w:space="0" w:color="auto"/>
            </w:tcBorders>
          </w:tcPr>
          <w:p w:rsidR="00B95B75" w:rsidRPr="008E0481" w:rsidRDefault="00B95B7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5085" w:type="dxa"/>
            <w:vMerge/>
            <w:tcBorders>
              <w:top w:val="nil"/>
              <w:bottom w:val="single" w:sz="4" w:space="0" w:color="auto"/>
            </w:tcBorders>
          </w:tcPr>
          <w:p w:rsidR="00B95B75" w:rsidRPr="008E0481" w:rsidRDefault="00B95B7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903" w:type="dxa"/>
            <w:vMerge/>
            <w:tcBorders>
              <w:bottom w:val="single" w:sz="4" w:space="0" w:color="auto"/>
            </w:tcBorders>
            <w:vAlign w:val="center"/>
          </w:tcPr>
          <w:p w:rsidR="00B95B75" w:rsidRPr="008E0481" w:rsidRDefault="00B95B75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B75" w:rsidRPr="008E0481" w:rsidRDefault="00CE2828">
            <w:pPr>
              <w:spacing w:line="0" w:lineRule="atLeast"/>
              <w:ind w:leftChars="-67" w:left="-141" w:rightChars="-42" w:right="-88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8E0481">
              <w:rPr>
                <w:rFonts w:ascii="Times New Roman" w:eastAsia="黑体" w:hAnsi="Times New Roman" w:cs="Times New Roman"/>
                <w:szCs w:val="21"/>
              </w:rPr>
              <w:t>A(10)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B75" w:rsidRPr="008E0481" w:rsidRDefault="00CE2828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8E0481">
              <w:rPr>
                <w:rFonts w:ascii="Times New Roman" w:eastAsia="黑体" w:hAnsi="Times New Roman" w:cs="Times New Roman"/>
                <w:szCs w:val="21"/>
              </w:rPr>
              <w:t>B(</w:t>
            </w:r>
            <w:bookmarkStart w:id="0" w:name="_GoBack"/>
            <w:bookmarkEnd w:id="0"/>
            <w:r w:rsidRPr="008E0481">
              <w:rPr>
                <w:rFonts w:ascii="Times New Roman" w:eastAsia="黑体" w:hAnsi="Times New Roman" w:cs="Times New Roman"/>
                <w:szCs w:val="21"/>
              </w:rPr>
              <w:t>8)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B75" w:rsidRPr="008E0481" w:rsidRDefault="00CE2828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8E0481">
              <w:rPr>
                <w:rFonts w:ascii="Times New Roman" w:eastAsia="黑体" w:hAnsi="Times New Roman" w:cs="Times New Roman"/>
                <w:szCs w:val="21"/>
              </w:rPr>
              <w:t>C(6)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B75" w:rsidRPr="008E0481" w:rsidRDefault="00CE2828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8E0481">
              <w:rPr>
                <w:rFonts w:ascii="Times New Roman" w:eastAsia="黑体" w:hAnsi="Times New Roman" w:cs="Times New Roman"/>
                <w:szCs w:val="21"/>
              </w:rPr>
              <w:t>D(4)</w:t>
            </w:r>
          </w:p>
        </w:tc>
      </w:tr>
      <w:tr w:rsidR="00B95B75" w:rsidTr="008E0481">
        <w:trPr>
          <w:trHeight w:val="176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Teaching preparation</w:t>
            </w:r>
          </w:p>
        </w:tc>
        <w:tc>
          <w:tcPr>
            <w:tcW w:w="5085" w:type="dxa"/>
            <w:tcBorders>
              <w:top w:val="single" w:sz="4" w:space="0" w:color="auto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1.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Before class, the teacher put forward the course learning requirements, the composition and proportion of the usual grades, the course evaluation method and the grading method to the students.</w:t>
            </w:r>
          </w:p>
        </w:tc>
        <w:tc>
          <w:tcPr>
            <w:tcW w:w="903" w:type="dxa"/>
            <w:tcBorders>
              <w:top w:val="single" w:sz="4" w:space="0" w:color="auto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single" w:sz="4" w:space="0" w:color="auto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single" w:sz="4" w:space="0" w:color="auto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/>
          </w:tcPr>
          <w:p w:rsidR="00B95B75" w:rsidRDefault="00B95B75">
            <w:pPr>
              <w:spacing w:line="360" w:lineRule="auto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2.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The curriculum structure is reasonable and rich learning resources are pushed.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 w:val="restart"/>
          </w:tcPr>
          <w:p w:rsidR="00B95B75" w:rsidRDefault="00CE2828">
            <w:pPr>
              <w:spacing w:line="360" w:lineRule="auto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Teaching process</w:t>
            </w: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3.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Teaching design reflects the characteristics of online teaching, which is conducive to mobilizing students' thinking and learning enthusiasm (selection of time and content).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/>
          </w:tcPr>
          <w:p w:rsidR="00B95B75" w:rsidRDefault="00B95B75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4.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Teaching reflects "two natures and one degree (high level, innovative and challenge degree)", focuses on ability cultivation, and timely introduces cutting-edge knowledge of the subject.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/>
          </w:tcPr>
          <w:p w:rsidR="00B95B75" w:rsidRDefault="00B95B75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5.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Teaching resources are closely related to teaching aims (including teaching syllabus, PPT, lecture notes, video, audio, etc.).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/>
          </w:tcPr>
          <w:p w:rsidR="00B95B75" w:rsidRDefault="00B95B75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6.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The teacher can communicate and interact with students, discuss and answer questions in various ways.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/>
          </w:tcPr>
          <w:p w:rsidR="00B95B75" w:rsidRDefault="00B95B75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7. The visual teaching platform is used effectively,  the tests, voting questionnaires and homework are arranged reasonably; pre-class test and post-class homework are closely related to teaching contents.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 w:val="restart"/>
          </w:tcPr>
          <w:p w:rsidR="00B95B75" w:rsidRDefault="00CE2828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Teaching effect</w:t>
            </w:r>
          </w:p>
        </w:tc>
        <w:tc>
          <w:tcPr>
            <w:tcW w:w="5085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8.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Students generally use the learning resources pushed by teachers effectively.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0.15</w:t>
            </w:r>
          </w:p>
        </w:tc>
        <w:tc>
          <w:tcPr>
            <w:tcW w:w="617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nil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  <w:tr w:rsidR="00B95B75" w:rsidTr="008E0481">
        <w:trPr>
          <w:trHeight w:val="796"/>
          <w:jc w:val="center"/>
        </w:trPr>
        <w:tc>
          <w:tcPr>
            <w:tcW w:w="1157" w:type="dxa"/>
            <w:vMerge/>
            <w:tcBorders>
              <w:bottom w:val="single" w:sz="4" w:space="0" w:color="auto"/>
            </w:tcBorders>
          </w:tcPr>
          <w:p w:rsidR="00B95B75" w:rsidRDefault="00B95B75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85" w:type="dxa"/>
            <w:tcBorders>
              <w:top w:val="nil"/>
              <w:bottom w:val="single" w:sz="4" w:space="0" w:color="auto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9.</w:t>
            </w:r>
            <w:r w:rsidR="008E0481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Students actively participate in teaching activities, the interaction between teachers and students is good, and students basically master the teaching content.</w:t>
            </w:r>
          </w:p>
        </w:tc>
        <w:tc>
          <w:tcPr>
            <w:tcW w:w="903" w:type="dxa"/>
            <w:tcBorders>
              <w:top w:val="nil"/>
              <w:bottom w:val="single" w:sz="4" w:space="0" w:color="auto"/>
            </w:tcBorders>
          </w:tcPr>
          <w:p w:rsidR="00B95B75" w:rsidRDefault="00CE2828">
            <w:pPr>
              <w:spacing w:line="360" w:lineRule="auto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0.15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bottom w:val="single" w:sz="4" w:space="0" w:color="auto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top w:val="nil"/>
              <w:bottom w:val="single" w:sz="4" w:space="0" w:color="auto"/>
            </w:tcBorders>
          </w:tcPr>
          <w:p w:rsidR="00B95B75" w:rsidRDefault="00B95B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</w:p>
        </w:tc>
      </w:tr>
    </w:tbl>
    <w:p w:rsidR="00B95B75" w:rsidRDefault="00B95B75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:rsidR="00B95B75" w:rsidRDefault="00B95B75">
      <w:pPr>
        <w:pStyle w:val="EndNoteBibliography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sectPr w:rsidR="00B95B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8B8" w:rsidRDefault="007408B8" w:rsidP="007107AA">
      <w:r>
        <w:separator/>
      </w:r>
    </w:p>
  </w:endnote>
  <w:endnote w:type="continuationSeparator" w:id="0">
    <w:p w:rsidR="007408B8" w:rsidRDefault="007408B8" w:rsidP="0071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TT28000ce1 . B">
    <w:altName w:val="Times New Roman"/>
    <w:charset w:val="00"/>
    <w:family w:val="auto"/>
    <w:pitch w:val="default"/>
  </w:font>
  <w:font w:name="AdvOT596495f2 + fb">
    <w:altName w:val="Times New Roman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8B8" w:rsidRDefault="007408B8" w:rsidP="007107AA">
      <w:r>
        <w:separator/>
      </w:r>
    </w:p>
  </w:footnote>
  <w:footnote w:type="continuationSeparator" w:id="0">
    <w:p w:rsidR="007408B8" w:rsidRDefault="007408B8" w:rsidP="00710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w02xtsjts0f3e0v03xtes3wxwt92w29xd0&quot;&gt;My EndNote Library&lt;record-ids&gt;&lt;item&gt;6434&lt;/item&gt;&lt;item&gt;6484&lt;/item&gt;&lt;item&gt;6610&lt;/item&gt;&lt;item&gt;6612&lt;/item&gt;&lt;item&gt;6626&lt;/item&gt;&lt;item&gt;6627&lt;/item&gt;&lt;/record-ids&gt;&lt;/item&gt;&lt;/Libraries&gt;"/>
    <w:docVar w:name="NE.Ref{38232638-CF54-41C4-92AF-12984E59C59F}" w:val=" ADDIN NE.Ref.{38232638-CF54-41C4-92AF-12984E59C59F}&lt;Citation&gt;&lt;Group&gt;&lt;References&gt;&lt;Item&gt;&lt;ID&gt;2&lt;/ID&gt;&lt;UID&gt;{9556BD0A-7593-4C88-98E2-8FE6BBA0BE06}&lt;/UID&gt;&lt;Title&gt;MOOCs, an innovative alternative to teach first aid and emergency treatment: A practical study&lt;/Title&gt;&lt;Template&gt;Journal Article&lt;/Template&gt;&lt;Star&gt;0&lt;/Star&gt;&lt;Tag&gt;0&lt;/Tag&gt;&lt;Author&gt;Chan, Miguel Morales; Barchino, Roberto; Medina-Merodio, Jose-Amelio; de la Roca, Mónica; Sagastume, Flor&lt;/Author&gt;&lt;Year&gt;2019&lt;/Year&gt;&lt;Details&gt;&lt;_accessed&gt;63325366&lt;/_accessed&gt;&lt;_collection_scope&gt;SCIE;SSCI&lt;/_collection_scope&gt;&lt;_created&gt;63325366&lt;/_created&gt;&lt;_db_updated&gt;CrossRef&lt;/_db_updated&gt;&lt;_doi&gt;10.1016/j.nedt.2019.05.008&lt;/_doi&gt;&lt;_impact_factor&gt;   2.442&lt;/_impact_factor&gt;&lt;_isbn&gt;02606917&lt;/_isbn&gt;&lt;_journal&gt;Nurse Education Today&lt;/_journal&gt;&lt;_modified&gt;63325366&lt;/_modified&gt;&lt;_pages&gt;92-97&lt;/_pages&gt;&lt;_tertiary_title&gt;Nurse Education Today&lt;/_tertiary_title&gt;&lt;_url&gt;https://linkinghub.elsevier.com/retrieve/pii/S026069171831030X_x000d__x000a_https://api.elsevier.com/content/article/PII:S026069171831030X?httpAccept=text/xml&lt;/_url&gt;&lt;_volume&gt;79&lt;/_volume&gt;&lt;/Details&gt;&lt;Extra&gt;&lt;DBUID&gt;{B682CCA6-AFD7-42B3-860C-534B0DD7D08E}&lt;/DBUID&gt;&lt;/Extra&gt;&lt;/Item&gt;&lt;/References&gt;&lt;/Group&gt;&lt;/Citation&gt;_x000a_"/>
    <w:docVar w:name="NE.Ref{4A9CBD7D-4963-44E1-8B0D-58375A062184}" w:val=" ADDIN NE.Ref.{4A9CBD7D-4963-44E1-8B0D-58375A062184}&lt;Citation&gt;&lt;Group&gt;&lt;References&gt;&lt;Item&gt;&lt;ID&gt;4&lt;/ID&gt;&lt;UID&gt;{F296BAF5-AE34-4D4C-A9AB-5D26398E036C}&lt;/UID&gt;&lt;Title&gt;Using summary videos in online classes for nursing students: A mixed methods study&lt;/Title&gt;&lt;Template&gt;Journal Article&lt;/Template&gt;&lt;Star&gt;0&lt;/Star&gt;&lt;Tag&gt;0&lt;/Tag&gt;&lt;Author&gt;Luo, Shuhong; Kalman, Melanie&lt;/Author&gt;&lt;Year&gt;2018&lt;/Year&gt;&lt;Details&gt;&lt;_accessed&gt;63325380&lt;/_accessed&gt;&lt;_collection_scope&gt;SCIE;SSCI&lt;/_collection_scope&gt;&lt;_created&gt;63325380&lt;/_created&gt;&lt;_db_updated&gt;CrossRef&lt;/_db_updated&gt;&lt;_doi&gt;10.1016/j.nedt.2018.09.032&lt;/_doi&gt;&lt;_impact_factor&gt;   2.442&lt;/_impact_factor&gt;&lt;_isbn&gt;02606917&lt;/_isbn&gt;&lt;_journal&gt;Nurse Education Today&lt;/_journal&gt;&lt;_modified&gt;63325380&lt;/_modified&gt;&lt;_pages&gt;211-219&lt;/_pages&gt;&lt;_tertiary_title&gt;Nurse Education Today&lt;/_tertiary_title&gt;&lt;_url&gt;https://linkinghub.elsevier.com/retrieve/pii/S0260691718306993_x000d__x000a_https://api.elsevier.com/content/article/PII:S0260691718306993?httpAccept=text/xml&lt;/_url&gt;&lt;_volume&gt;71&lt;/_volume&gt;&lt;/Details&gt;&lt;Extra&gt;&lt;DBUID&gt;{B682CCA6-AFD7-42B3-860C-534B0DD7D08E}&lt;/DBUID&gt;&lt;/Extra&gt;&lt;/Item&gt;&lt;/References&gt;&lt;/Group&gt;&lt;Group&gt;&lt;References&gt;&lt;Item&gt;&lt;ID&gt;2&lt;/ID&gt;&lt;UID&gt;{9556BD0A-7593-4C88-98E2-8FE6BBA0BE06}&lt;/UID&gt;&lt;Title&gt;MOOCs, an innovative alternative to teach first aid and emergency treatment: A practical study&lt;/Title&gt;&lt;Template&gt;Journal Article&lt;/Template&gt;&lt;Star&gt;0&lt;/Star&gt;&lt;Tag&gt;0&lt;/Tag&gt;&lt;Author&gt;Chan, Miguel Morales; Barchino, Roberto; Medina-Merodio, Jose-Amelio; de la Roca, Mónica; Sagastume, Flor&lt;/Author&gt;&lt;Year&gt;2019&lt;/Year&gt;&lt;Details&gt;&lt;_accessed&gt;63325366&lt;/_accessed&gt;&lt;_collection_scope&gt;SCIE;SSCI&lt;/_collection_scope&gt;&lt;_created&gt;63325366&lt;/_created&gt;&lt;_db_updated&gt;CrossRef&lt;/_db_updated&gt;&lt;_doi&gt;10.1016/j.nedt.2019.05.008&lt;/_doi&gt;&lt;_impact_factor&gt;   2.442&lt;/_impact_factor&gt;&lt;_isbn&gt;02606917&lt;/_isbn&gt;&lt;_journal&gt;Nurse Education Today&lt;/_journal&gt;&lt;_modified&gt;63325366&lt;/_modified&gt;&lt;_pages&gt;92-97&lt;/_pages&gt;&lt;_tertiary_title&gt;Nurse Education Today&lt;/_tertiary_title&gt;&lt;_url&gt;https://linkinghub.elsevier.com/retrieve/pii/S026069171831030X_x000d__x000a_https://api.elsevier.com/content/article/PII:S026069171831030X?httpAccept=text/xml&lt;/_url&gt;&lt;_volume&gt;79&lt;/_volume&gt;&lt;/Details&gt;&lt;Extra&gt;&lt;DBUID&gt;{B682CCA6-AFD7-42B3-860C-534B0DD7D08E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15"/>
  </w:docVars>
  <w:rsids>
    <w:rsidRoot w:val="00172A27"/>
    <w:rsid w:val="000315C8"/>
    <w:rsid w:val="00036330"/>
    <w:rsid w:val="00036FC0"/>
    <w:rsid w:val="00036FF1"/>
    <w:rsid w:val="000426E5"/>
    <w:rsid w:val="000471A5"/>
    <w:rsid w:val="0005402D"/>
    <w:rsid w:val="00061D2D"/>
    <w:rsid w:val="0006442E"/>
    <w:rsid w:val="00070F43"/>
    <w:rsid w:val="000A5BC5"/>
    <w:rsid w:val="000B21FD"/>
    <w:rsid w:val="000C6EFC"/>
    <w:rsid w:val="000F4C20"/>
    <w:rsid w:val="000F56FD"/>
    <w:rsid w:val="00102374"/>
    <w:rsid w:val="001359A1"/>
    <w:rsid w:val="00141332"/>
    <w:rsid w:val="001439E0"/>
    <w:rsid w:val="00172A27"/>
    <w:rsid w:val="00184A64"/>
    <w:rsid w:val="001E5146"/>
    <w:rsid w:val="00203935"/>
    <w:rsid w:val="0022097D"/>
    <w:rsid w:val="00232662"/>
    <w:rsid w:val="00260C97"/>
    <w:rsid w:val="0026777F"/>
    <w:rsid w:val="002767F5"/>
    <w:rsid w:val="002800CD"/>
    <w:rsid w:val="002A13A8"/>
    <w:rsid w:val="002A43D8"/>
    <w:rsid w:val="002E2931"/>
    <w:rsid w:val="002F51A4"/>
    <w:rsid w:val="002F5876"/>
    <w:rsid w:val="00315D2C"/>
    <w:rsid w:val="00344114"/>
    <w:rsid w:val="003470A5"/>
    <w:rsid w:val="0035402E"/>
    <w:rsid w:val="00377CE8"/>
    <w:rsid w:val="00386A6B"/>
    <w:rsid w:val="0039280D"/>
    <w:rsid w:val="003C0AFD"/>
    <w:rsid w:val="00402835"/>
    <w:rsid w:val="004256D9"/>
    <w:rsid w:val="00430F37"/>
    <w:rsid w:val="004375E7"/>
    <w:rsid w:val="004437A0"/>
    <w:rsid w:val="0047302A"/>
    <w:rsid w:val="00477001"/>
    <w:rsid w:val="004807EA"/>
    <w:rsid w:val="004E5F35"/>
    <w:rsid w:val="004F1780"/>
    <w:rsid w:val="00533190"/>
    <w:rsid w:val="005457F9"/>
    <w:rsid w:val="0054699C"/>
    <w:rsid w:val="0056000E"/>
    <w:rsid w:val="00565EE0"/>
    <w:rsid w:val="005A4CBB"/>
    <w:rsid w:val="005B1017"/>
    <w:rsid w:val="005D2122"/>
    <w:rsid w:val="00675798"/>
    <w:rsid w:val="00687139"/>
    <w:rsid w:val="006B1E6A"/>
    <w:rsid w:val="00703C21"/>
    <w:rsid w:val="00706E14"/>
    <w:rsid w:val="0070740C"/>
    <w:rsid w:val="007107AA"/>
    <w:rsid w:val="00717537"/>
    <w:rsid w:val="007408B8"/>
    <w:rsid w:val="00741293"/>
    <w:rsid w:val="00754F7A"/>
    <w:rsid w:val="00760416"/>
    <w:rsid w:val="007610D8"/>
    <w:rsid w:val="00766E58"/>
    <w:rsid w:val="00767C1A"/>
    <w:rsid w:val="00773AD6"/>
    <w:rsid w:val="007750AA"/>
    <w:rsid w:val="007B1999"/>
    <w:rsid w:val="007D3CA6"/>
    <w:rsid w:val="007E3756"/>
    <w:rsid w:val="00835B10"/>
    <w:rsid w:val="00842146"/>
    <w:rsid w:val="00847A45"/>
    <w:rsid w:val="00860E7A"/>
    <w:rsid w:val="008769D0"/>
    <w:rsid w:val="00891263"/>
    <w:rsid w:val="008A3157"/>
    <w:rsid w:val="008A7CB3"/>
    <w:rsid w:val="008C6AF5"/>
    <w:rsid w:val="008D59C1"/>
    <w:rsid w:val="008E0481"/>
    <w:rsid w:val="00912198"/>
    <w:rsid w:val="0092374F"/>
    <w:rsid w:val="0094399B"/>
    <w:rsid w:val="00953A12"/>
    <w:rsid w:val="00954193"/>
    <w:rsid w:val="00955D38"/>
    <w:rsid w:val="009A5262"/>
    <w:rsid w:val="009B7F23"/>
    <w:rsid w:val="009D7EEE"/>
    <w:rsid w:val="009E2B09"/>
    <w:rsid w:val="009F2118"/>
    <w:rsid w:val="00A01F6E"/>
    <w:rsid w:val="00A15A1B"/>
    <w:rsid w:val="00A45605"/>
    <w:rsid w:val="00A476AF"/>
    <w:rsid w:val="00A47A6A"/>
    <w:rsid w:val="00A50119"/>
    <w:rsid w:val="00A52C85"/>
    <w:rsid w:val="00A639F7"/>
    <w:rsid w:val="00A843BC"/>
    <w:rsid w:val="00A93872"/>
    <w:rsid w:val="00AC588D"/>
    <w:rsid w:val="00AD07F9"/>
    <w:rsid w:val="00AF2A42"/>
    <w:rsid w:val="00AF7A88"/>
    <w:rsid w:val="00B230AE"/>
    <w:rsid w:val="00B26A83"/>
    <w:rsid w:val="00B30AE0"/>
    <w:rsid w:val="00B51102"/>
    <w:rsid w:val="00B673FB"/>
    <w:rsid w:val="00B73835"/>
    <w:rsid w:val="00B76603"/>
    <w:rsid w:val="00B95B75"/>
    <w:rsid w:val="00BB03CE"/>
    <w:rsid w:val="00BE52F1"/>
    <w:rsid w:val="00BF1AD2"/>
    <w:rsid w:val="00C13EA8"/>
    <w:rsid w:val="00C33913"/>
    <w:rsid w:val="00C42C73"/>
    <w:rsid w:val="00C56294"/>
    <w:rsid w:val="00C7058B"/>
    <w:rsid w:val="00C705E4"/>
    <w:rsid w:val="00C764F0"/>
    <w:rsid w:val="00CA0152"/>
    <w:rsid w:val="00CD188E"/>
    <w:rsid w:val="00CE2828"/>
    <w:rsid w:val="00CE5807"/>
    <w:rsid w:val="00D464B0"/>
    <w:rsid w:val="00D572BF"/>
    <w:rsid w:val="00D65AF8"/>
    <w:rsid w:val="00D8532C"/>
    <w:rsid w:val="00D879BD"/>
    <w:rsid w:val="00DB5D77"/>
    <w:rsid w:val="00DD1BD5"/>
    <w:rsid w:val="00DD79E9"/>
    <w:rsid w:val="00DD7D1D"/>
    <w:rsid w:val="00DF33BB"/>
    <w:rsid w:val="00E33BD8"/>
    <w:rsid w:val="00E5628D"/>
    <w:rsid w:val="00E67ABB"/>
    <w:rsid w:val="00E74989"/>
    <w:rsid w:val="00E76274"/>
    <w:rsid w:val="00E826CD"/>
    <w:rsid w:val="00EA2978"/>
    <w:rsid w:val="00EB1F77"/>
    <w:rsid w:val="00EB2966"/>
    <w:rsid w:val="00ED3256"/>
    <w:rsid w:val="00EF1B7F"/>
    <w:rsid w:val="00EF6F5D"/>
    <w:rsid w:val="00F01A96"/>
    <w:rsid w:val="00F11A5F"/>
    <w:rsid w:val="00F173AD"/>
    <w:rsid w:val="00F64B4F"/>
    <w:rsid w:val="00F70D8B"/>
    <w:rsid w:val="00FB7856"/>
    <w:rsid w:val="00FC289B"/>
    <w:rsid w:val="00FC65C0"/>
    <w:rsid w:val="00FD4191"/>
    <w:rsid w:val="00FF2B4F"/>
    <w:rsid w:val="02C546B6"/>
    <w:rsid w:val="03035596"/>
    <w:rsid w:val="03F15898"/>
    <w:rsid w:val="03F24F5C"/>
    <w:rsid w:val="05397729"/>
    <w:rsid w:val="0AD72767"/>
    <w:rsid w:val="0C570DDD"/>
    <w:rsid w:val="0C89767A"/>
    <w:rsid w:val="0EA1072F"/>
    <w:rsid w:val="10646C1A"/>
    <w:rsid w:val="11E52F3A"/>
    <w:rsid w:val="121F3360"/>
    <w:rsid w:val="13E65964"/>
    <w:rsid w:val="14254800"/>
    <w:rsid w:val="14F70859"/>
    <w:rsid w:val="150656F5"/>
    <w:rsid w:val="164C601C"/>
    <w:rsid w:val="166F4401"/>
    <w:rsid w:val="18BC102B"/>
    <w:rsid w:val="190441DC"/>
    <w:rsid w:val="1D820EEA"/>
    <w:rsid w:val="1DE92074"/>
    <w:rsid w:val="1EAD42B2"/>
    <w:rsid w:val="1EED7683"/>
    <w:rsid w:val="2090786C"/>
    <w:rsid w:val="23993582"/>
    <w:rsid w:val="23F52E70"/>
    <w:rsid w:val="27442C3C"/>
    <w:rsid w:val="294F4DAA"/>
    <w:rsid w:val="29B107D0"/>
    <w:rsid w:val="2A4A7210"/>
    <w:rsid w:val="2BE743C9"/>
    <w:rsid w:val="2CCD3C55"/>
    <w:rsid w:val="2D583808"/>
    <w:rsid w:val="2D624C17"/>
    <w:rsid w:val="2E2B0C6E"/>
    <w:rsid w:val="31091F7E"/>
    <w:rsid w:val="318E3DC6"/>
    <w:rsid w:val="3234706D"/>
    <w:rsid w:val="330475E5"/>
    <w:rsid w:val="34AA57D6"/>
    <w:rsid w:val="383C3741"/>
    <w:rsid w:val="388B4061"/>
    <w:rsid w:val="389D2348"/>
    <w:rsid w:val="3A6254CC"/>
    <w:rsid w:val="3A881851"/>
    <w:rsid w:val="3B6D576E"/>
    <w:rsid w:val="3D374E51"/>
    <w:rsid w:val="3D496DC7"/>
    <w:rsid w:val="3D6C48A9"/>
    <w:rsid w:val="40072804"/>
    <w:rsid w:val="43AE5D8F"/>
    <w:rsid w:val="44824CBB"/>
    <w:rsid w:val="45FE054C"/>
    <w:rsid w:val="46097F69"/>
    <w:rsid w:val="46B755B1"/>
    <w:rsid w:val="46D53DA7"/>
    <w:rsid w:val="470316FF"/>
    <w:rsid w:val="47663867"/>
    <w:rsid w:val="47DD4C4B"/>
    <w:rsid w:val="485F68C5"/>
    <w:rsid w:val="4867040C"/>
    <w:rsid w:val="488A7238"/>
    <w:rsid w:val="48D05117"/>
    <w:rsid w:val="498B02CD"/>
    <w:rsid w:val="4C14667F"/>
    <w:rsid w:val="4F0A5D20"/>
    <w:rsid w:val="507D0F18"/>
    <w:rsid w:val="548A65E7"/>
    <w:rsid w:val="57412DF6"/>
    <w:rsid w:val="57F17E8A"/>
    <w:rsid w:val="5C265C4F"/>
    <w:rsid w:val="5C7C62A5"/>
    <w:rsid w:val="5CD11374"/>
    <w:rsid w:val="5E477A9B"/>
    <w:rsid w:val="5E7F4716"/>
    <w:rsid w:val="5FE50ECE"/>
    <w:rsid w:val="5FED01FC"/>
    <w:rsid w:val="607B040D"/>
    <w:rsid w:val="60B07EF7"/>
    <w:rsid w:val="62562A2A"/>
    <w:rsid w:val="62C52014"/>
    <w:rsid w:val="64EA340F"/>
    <w:rsid w:val="668444BB"/>
    <w:rsid w:val="673B4BF5"/>
    <w:rsid w:val="6BDF1F72"/>
    <w:rsid w:val="6CAA2771"/>
    <w:rsid w:val="70EA0AF7"/>
    <w:rsid w:val="71B14580"/>
    <w:rsid w:val="739229CF"/>
    <w:rsid w:val="73D46DF0"/>
    <w:rsid w:val="7504741A"/>
    <w:rsid w:val="77640B3E"/>
    <w:rsid w:val="79277550"/>
    <w:rsid w:val="79DD0476"/>
    <w:rsid w:val="7A6E10F4"/>
    <w:rsid w:val="7BBB5901"/>
    <w:rsid w:val="7FB9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Pr>
      <w:rFonts w:ascii="Calibri" w:eastAsiaTheme="minorEastAsia" w:hAnsi="Calibri" w:cstheme="minorBidi"/>
      <w:kern w:val="2"/>
      <w:szCs w:val="22"/>
    </w:rPr>
  </w:style>
  <w:style w:type="paragraph" w:customStyle="1" w:styleId="EndNoteBibliography">
    <w:name w:val="EndNote Bibliography"/>
    <w:basedOn w:val="a"/>
    <w:link w:val="EndNoteBibliographyChar"/>
    <w:qFormat/>
    <w:pPr>
      <w:jc w:val="left"/>
    </w:pPr>
    <w:rPr>
      <w:rFonts w:ascii="Calibri" w:hAnsi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Calibri" w:eastAsiaTheme="minorEastAsia" w:hAnsi="Calibri" w:cstheme="minorBidi"/>
      <w:kern w:val="2"/>
      <w:szCs w:val="22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tran">
    <w:name w:val="tran"/>
    <w:basedOn w:val="a0"/>
    <w:qFormat/>
  </w:style>
  <w:style w:type="character" w:customStyle="1" w:styleId="skip">
    <w:name w:val="skip"/>
    <w:basedOn w:val="a0"/>
    <w:qFormat/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  <w:szCs w:val="22"/>
    </w:rPr>
  </w:style>
  <w:style w:type="character" w:customStyle="1" w:styleId="4Char">
    <w:name w:val="标题 4 Char"/>
    <w:basedOn w:val="a0"/>
    <w:link w:val="4"/>
    <w:uiPriority w:val="9"/>
    <w:qFormat/>
    <w:rPr>
      <w:rFonts w:ascii="宋体" w:eastAsia="宋体" w:hAnsi="宋体" w:cs="宋体"/>
      <w:b/>
      <w:bCs/>
      <w:sz w:val="24"/>
      <w:szCs w:val="24"/>
    </w:rPr>
  </w:style>
  <w:style w:type="character" w:customStyle="1" w:styleId="high-light-bg4">
    <w:name w:val="high-light-bg4"/>
    <w:basedOn w:val="a0"/>
    <w:qFormat/>
  </w:style>
  <w:style w:type="character" w:customStyle="1" w:styleId="Bodytext1">
    <w:name w:val="Body text|1_"/>
    <w:basedOn w:val="a0"/>
    <w:link w:val="Bodytext10"/>
    <w:qFormat/>
    <w:rPr>
      <w:rFonts w:ascii="宋体" w:hAnsi="宋体" w:cs="宋体"/>
      <w:sz w:val="36"/>
      <w:szCs w:val="36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pPr>
      <w:spacing w:after="240"/>
      <w:jc w:val="center"/>
    </w:pPr>
    <w:rPr>
      <w:rFonts w:ascii="宋体" w:eastAsia="宋体" w:hAnsi="宋体" w:cs="宋体"/>
      <w:kern w:val="0"/>
      <w:sz w:val="36"/>
      <w:szCs w:val="36"/>
      <w:lang w:val="zh-TW" w:eastAsia="zh-TW" w:bidi="zh-TW"/>
    </w:rPr>
  </w:style>
  <w:style w:type="character" w:customStyle="1" w:styleId="Tablecaption1">
    <w:name w:val="Table caption|1_"/>
    <w:basedOn w:val="a0"/>
    <w:link w:val="Tablecaption10"/>
    <w:qFormat/>
    <w:rPr>
      <w:rFonts w:ascii="宋体" w:hAnsi="宋体" w:cs="宋体"/>
      <w:lang w:val="zh-TW" w:eastAsia="zh-TW" w:bidi="zh-TW"/>
    </w:rPr>
  </w:style>
  <w:style w:type="paragraph" w:customStyle="1" w:styleId="Tablecaption10">
    <w:name w:val="Table caption|1"/>
    <w:basedOn w:val="a"/>
    <w:link w:val="Tablecaption1"/>
    <w:qFormat/>
    <w:pPr>
      <w:spacing w:line="477" w:lineRule="exact"/>
      <w:jc w:val="left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character" w:customStyle="1" w:styleId="Other1">
    <w:name w:val="Other|1_"/>
    <w:basedOn w:val="a0"/>
    <w:link w:val="Other10"/>
    <w:qFormat/>
    <w:rPr>
      <w:rFonts w:ascii="宋体" w:hAnsi="宋体" w:cs="宋体"/>
      <w:lang w:val="zh-TW" w:eastAsia="zh-TW" w:bidi="zh-TW"/>
    </w:rPr>
  </w:style>
  <w:style w:type="paragraph" w:customStyle="1" w:styleId="Other10">
    <w:name w:val="Other|1"/>
    <w:basedOn w:val="a"/>
    <w:link w:val="Other1"/>
    <w:qFormat/>
    <w:pPr>
      <w:ind w:left="140"/>
      <w:jc w:val="left"/>
    </w:pPr>
    <w:rPr>
      <w:rFonts w:ascii="宋体" w:eastAsia="宋体" w:hAnsi="宋体" w:cs="宋体"/>
      <w:kern w:val="0"/>
      <w:sz w:val="20"/>
      <w:szCs w:val="20"/>
      <w:lang w:val="zh-TW" w:eastAsia="zh-TW" w:bidi="zh-TW"/>
    </w:rPr>
  </w:style>
  <w:style w:type="character" w:customStyle="1" w:styleId="fontstyle01">
    <w:name w:val="fontstyle01"/>
    <w:basedOn w:val="a0"/>
    <w:qFormat/>
    <w:rPr>
      <w:rFonts w:ascii="AdvTT28000ce1 . B" w:eastAsia="AdvTT28000ce1 . B" w:hAnsi="AdvTT28000ce1 . B" w:cs="AdvTT28000ce1 . B"/>
      <w:color w:val="242021"/>
      <w:sz w:val="16"/>
      <w:szCs w:val="16"/>
    </w:rPr>
  </w:style>
  <w:style w:type="character" w:customStyle="1" w:styleId="fontstyle21">
    <w:name w:val="fontstyle21"/>
    <w:basedOn w:val="a0"/>
    <w:qFormat/>
    <w:rPr>
      <w:rFonts w:ascii="AdvOT596495f2 + fb" w:eastAsia="AdvOT596495f2 + fb" w:hAnsi="AdvOT596495f2 + fb" w:cs="AdvOT596495f2 + fb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15</cp:revision>
  <dcterms:created xsi:type="dcterms:W3CDTF">2020-05-27T22:44:00Z</dcterms:created>
  <dcterms:modified xsi:type="dcterms:W3CDTF">2022-03-02T04:53:00Z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