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912"/>
        </w:tabs>
        <w:jc w:val="center"/>
        <w:rPr>
          <w:b/>
        </w:rPr>
      </w:pPr>
      <w:r>
        <w:rPr>
          <w:b/>
        </w:rPr>
        <w:t>Supplementary materials for:</w:t>
      </w:r>
    </w:p>
    <w:p>
      <w:pPr>
        <w:tabs>
          <w:tab w:val="left" w:pos="912"/>
        </w:tabs>
        <w:jc w:val="center"/>
        <w:rPr>
          <w:b/>
        </w:rPr>
      </w:pPr>
    </w:p>
    <w:p>
      <w:pPr>
        <w:pStyle w:val="5"/>
        <w:rPr>
          <w:rFonts w:hint="eastAsia"/>
          <w:b/>
        </w:rPr>
      </w:pPr>
      <w:r>
        <w:rPr>
          <w:rFonts w:hint="eastAsia"/>
          <w:b/>
        </w:rPr>
        <w:t>Predicting Nursing Students’ Psychological Well-Being: Network Analysis Based on a Model of Thriving Through Relationships</w:t>
      </w:r>
    </w:p>
    <w:p>
      <w:pPr>
        <w:spacing w:line="360" w:lineRule="auto"/>
        <w:jc w:val="center"/>
        <w:rPr>
          <w:rFonts w:ascii="Times New Roman" w:hAnsi="Times New Roman"/>
          <w:szCs w:val="21"/>
        </w:rPr>
      </w:pPr>
      <w:r>
        <w:rPr>
          <w:rFonts w:ascii="Times New Roman" w:hAnsi="Times New Roman"/>
        </w:rPr>
        <w:t xml:space="preserve">Lu </w:t>
      </w:r>
      <w:r>
        <w:rPr>
          <w:rFonts w:ascii="Times New Roman" w:hAnsi="Times New Roman"/>
          <w:color w:val="000000"/>
        </w:rPr>
        <w:t>Zhou</w:t>
      </w:r>
      <w:r>
        <w:fldChar w:fldCharType="begin"/>
      </w:r>
      <w:r>
        <w:instrText xml:space="preserve"> HYPERLINK "https://onlinelibrary.wiley.com/action/doSearch?ContribAuthorRaw=Zhang,+Shan" </w:instrText>
      </w:r>
      <w:r>
        <w:fldChar w:fldCharType="separate"/>
      </w:r>
      <w:r>
        <w:rPr>
          <w:rStyle w:val="6"/>
          <w:color w:val="000000"/>
          <w:u w:val="single"/>
          <w:shd w:val="clear" w:color="auto" w:fill="FFFFFF"/>
        </w:rPr>
        <w:t xml:space="preserve"> PhD candidate</w:t>
      </w:r>
      <w:r>
        <w:rPr>
          <w:rStyle w:val="6"/>
          <w:color w:val="000000"/>
          <w:u w:val="single"/>
          <w:shd w:val="clear" w:color="auto" w:fill="FFFFFF"/>
        </w:rPr>
        <w:fldChar w:fldCharType="end"/>
      </w:r>
      <w:r>
        <w:rPr>
          <w:rFonts w:ascii="Times New Roman" w:hAnsi="Times New Roman"/>
        </w:rPr>
        <w:t>.</w:t>
      </w:r>
      <w:r>
        <w:rPr>
          <w:rFonts w:ascii="Times New Roman" w:hAnsi="Times New Roman"/>
          <w:vertAlign w:val="superscript"/>
        </w:rPr>
        <w:t>1,2</w:t>
      </w:r>
      <w:r>
        <w:rPr>
          <w:rFonts w:ascii="Times New Roman" w:hAnsi="Times New Roman"/>
        </w:rPr>
        <w:t>, Khunanan Sukpasjaroen.</w:t>
      </w:r>
      <w:r>
        <w:rPr>
          <w:rFonts w:ascii="Times New Roman" w:hAnsi="Times New Roman"/>
          <w:vertAlign w:val="superscript"/>
        </w:rPr>
        <w:t>1</w:t>
      </w:r>
      <w:r>
        <w:rPr>
          <w:rFonts w:ascii="Times New Roman" w:hAnsi="Times New Roman"/>
        </w:rPr>
        <w:t>, YuMing Wu.</w:t>
      </w:r>
      <w:r>
        <w:rPr>
          <w:rFonts w:ascii="Times New Roman" w:hAnsi="Times New Roman"/>
          <w:vertAlign w:val="superscript"/>
        </w:rPr>
        <w:t>3</w:t>
      </w:r>
      <w:r>
        <w:rPr>
          <w:rFonts w:ascii="Times New Roman" w:hAnsi="Times New Roman"/>
        </w:rPr>
        <w:t xml:space="preserve">, </w:t>
      </w:r>
      <w:r>
        <w:rPr>
          <w:rFonts w:hint="eastAsia"/>
          <w:lang w:val="en-US" w:eastAsia="zh-CN"/>
        </w:rPr>
        <w:t>Lei Wang</w:t>
      </w:r>
      <w:r>
        <w:rPr>
          <w:rFonts w:ascii="Times New Roman" w:hAnsi="Times New Roman"/>
        </w:rPr>
        <w:t>.</w:t>
      </w:r>
      <w:r>
        <w:rPr>
          <w:rFonts w:ascii="Times New Roman" w:hAnsi="Times New Roman"/>
          <w:vertAlign w:val="superscript"/>
        </w:rPr>
        <w:t>2</w:t>
      </w:r>
      <w:r>
        <w:rPr>
          <w:rFonts w:ascii="Times New Roman" w:hAnsi="Times New Roman"/>
        </w:rPr>
        <w:t xml:space="preserve"> , Thitinan Chankoson.</w:t>
      </w:r>
      <w:r>
        <w:rPr>
          <w:rFonts w:ascii="Times New Roman" w:hAnsi="Times New Roman"/>
          <w:vertAlign w:val="superscript"/>
        </w:rPr>
        <w:t>1,4</w:t>
      </w:r>
      <w:r>
        <w:rPr>
          <w:rFonts w:ascii="Times New Roman" w:hAnsi="Times New Roman"/>
        </w:rPr>
        <w:t xml:space="preserve"> *, and EnLi Cai</w:t>
      </w:r>
      <w:r>
        <w:rPr>
          <w:rFonts w:ascii="Times New Roman" w:hAnsi="Times New Roman"/>
          <w:vertAlign w:val="superscript"/>
        </w:rPr>
        <w:t>2.</w:t>
      </w:r>
      <w:r>
        <w:rPr>
          <w:rFonts w:ascii="Times New Roman" w:hAnsi="Times New Roman"/>
        </w:rPr>
        <w:t>*</w:t>
      </w:r>
      <w:r>
        <w:rPr>
          <w:rFonts w:ascii="Times New Roman" w:hAnsi="Times New Roman"/>
          <w:b/>
          <w:bCs/>
        </w:rPr>
        <w:t xml:space="preserve"> </w:t>
      </w:r>
    </w:p>
    <w:p>
      <w:pPr>
        <w:pStyle w:val="7"/>
        <w:spacing w:line="360" w:lineRule="auto"/>
        <w:rPr>
          <w:rFonts w:ascii="Times New Roman" w:hAnsi="Times New Roman"/>
        </w:rPr>
      </w:pPr>
      <w:r>
        <w:rPr>
          <w:rFonts w:ascii="Times New Roman" w:hAnsi="Times New Roman"/>
        </w:rPr>
        <w:t xml:space="preserve"> </w:t>
      </w:r>
    </w:p>
    <w:p>
      <w:pPr>
        <w:pStyle w:val="7"/>
        <w:spacing w:line="360" w:lineRule="auto"/>
        <w:jc w:val="left"/>
        <w:rPr>
          <w:rFonts w:ascii="Times New Roman" w:hAnsi="Times New Roman"/>
        </w:rPr>
      </w:pPr>
      <w:r>
        <w:rPr>
          <w:rFonts w:ascii="Times New Roman" w:hAnsi="Times New Roman"/>
        </w:rPr>
        <w:t xml:space="preserve">1   Chakrabongse Bhuvanarth International Institute for Interdisciplinary Studies, Rajamangala University of Technology Tawan-OK, Thailand; </w:t>
      </w:r>
    </w:p>
    <w:p>
      <w:pPr>
        <w:pStyle w:val="7"/>
        <w:spacing w:line="360" w:lineRule="auto"/>
        <w:jc w:val="left"/>
        <w:rPr>
          <w:rFonts w:ascii="Times New Roman" w:hAnsi="Times New Roman"/>
        </w:rPr>
      </w:pPr>
      <w:r>
        <w:rPr>
          <w:rFonts w:ascii="Times New Roman" w:hAnsi="Times New Roman"/>
        </w:rPr>
        <w:t xml:space="preserve">2   School of Nursing Yunnan University of Chinese Medicine, China; </w:t>
      </w:r>
    </w:p>
    <w:p>
      <w:pPr>
        <w:pStyle w:val="2"/>
        <w:widowControl/>
        <w:spacing w:line="360" w:lineRule="auto"/>
        <w:rPr>
          <w:rFonts w:ascii="Times New Roman" w:hAnsi="Times New Roman"/>
          <w:sz w:val="21"/>
          <w:szCs w:val="21"/>
        </w:rPr>
      </w:pPr>
      <w:r>
        <w:rPr>
          <w:rFonts w:ascii="Times New Roman" w:hAnsi="Times New Roman"/>
          <w:sz w:val="21"/>
          <w:szCs w:val="21"/>
        </w:rPr>
        <w:t xml:space="preserve">3   </w:t>
      </w:r>
      <w:r>
        <w:rPr>
          <w:rFonts w:ascii="Times New Roman" w:hAnsi="Times New Roman" w:eastAsia="宋体" w:cs="Times New Roman"/>
          <w:sz w:val="24"/>
          <w:szCs w:val="21"/>
          <w:lang w:val="en-US" w:eastAsia="en-US" w:bidi="ar-SA"/>
        </w:rPr>
        <w:t>School of Medicine, Yunnan University of Chinese Medicine, China;</w:t>
      </w:r>
    </w:p>
    <w:p>
      <w:pPr>
        <w:pStyle w:val="7"/>
        <w:spacing w:line="360" w:lineRule="auto"/>
        <w:jc w:val="left"/>
        <w:rPr>
          <w:rFonts w:ascii="Times New Roman" w:hAnsi="Times New Roman"/>
        </w:rPr>
      </w:pPr>
      <w:r>
        <w:rPr>
          <w:rFonts w:ascii="Times New Roman" w:hAnsi="Times New Roman"/>
        </w:rPr>
        <w:t xml:space="preserve">4   Faculty of Business Administration for Society, Srinakharinwirot University, Thailand; </w:t>
      </w:r>
    </w:p>
    <w:p>
      <w:pPr>
        <w:pStyle w:val="7"/>
        <w:spacing w:line="360" w:lineRule="auto"/>
        <w:jc w:val="left"/>
        <w:rPr>
          <w:rFonts w:ascii="Times New Roman" w:hAnsi="Times New Roman"/>
        </w:rPr>
      </w:pPr>
      <w:r>
        <w:rPr>
          <w:rFonts w:ascii="Times New Roman" w:hAnsi="Times New Roman"/>
        </w:rPr>
        <w:t>*</w:t>
      </w:r>
      <w:r>
        <w:rPr>
          <w:rFonts w:ascii="Times New Roman" w:hAnsi="Times New Roman"/>
        </w:rPr>
        <w:tab/>
      </w:r>
      <w:r>
        <w:rPr>
          <w:rFonts w:ascii="Times New Roman" w:hAnsi="Times New Roman"/>
        </w:rPr>
        <w:t>Correspondence: luzhouynutcm@yahoo.com(T.C.); caienliycm@sina.cn(EL.C.)</w:t>
      </w:r>
    </w:p>
    <w:p>
      <w:pPr>
        <w:pStyle w:val="5"/>
        <w:rPr>
          <w:rFonts w:hint="eastAsia"/>
          <w:b/>
        </w:rPr>
      </w:pPr>
    </w:p>
    <w:p>
      <w:pPr>
        <w:pStyle w:val="5"/>
        <w:rPr>
          <w:rFonts w:hint="eastAsia"/>
          <w:b/>
        </w:rPr>
      </w:pPr>
    </w:p>
    <w:p>
      <w:pPr>
        <w:pStyle w:val="5"/>
        <w:rPr>
          <w:rFonts w:hint="eastAsia"/>
          <w:b/>
        </w:rPr>
      </w:pPr>
    </w:p>
    <w:p>
      <w:pPr>
        <w:pStyle w:val="5"/>
        <w:rPr>
          <w:rFonts w:hint="eastAsia"/>
          <w:b/>
        </w:rPr>
      </w:pPr>
    </w:p>
    <w:p>
      <w:pPr>
        <w:pStyle w:val="5"/>
        <w:rPr>
          <w:rFonts w:hint="eastAsia"/>
          <w:b/>
        </w:rPr>
      </w:pPr>
    </w:p>
    <w:p>
      <w:pPr>
        <w:pStyle w:val="5"/>
        <w:rPr>
          <w:rFonts w:hint="eastAsia"/>
          <w:b/>
        </w:rPr>
      </w:pPr>
    </w:p>
    <w:p>
      <w:pPr>
        <w:pStyle w:val="5"/>
        <w:rPr>
          <w:rFonts w:hint="eastAsia"/>
          <w:b/>
        </w:rPr>
      </w:pPr>
    </w:p>
    <w:p>
      <w:pPr>
        <w:pStyle w:val="5"/>
        <w:rPr>
          <w:rFonts w:hint="eastAsia"/>
          <w:b/>
        </w:rPr>
      </w:pPr>
    </w:p>
    <w:p>
      <w:pPr>
        <w:pStyle w:val="5"/>
        <w:rPr>
          <w:rFonts w:hint="eastAsia"/>
          <w:b/>
        </w:rPr>
      </w:pPr>
    </w:p>
    <w:p>
      <w:pPr>
        <w:pStyle w:val="5"/>
        <w:rPr>
          <w:rFonts w:hint="eastAsia"/>
          <w:b/>
        </w:rPr>
      </w:pPr>
    </w:p>
    <w:p>
      <w:pPr>
        <w:pStyle w:val="5"/>
        <w:jc w:val="both"/>
        <w:rPr>
          <w:rFonts w:hint="eastAsia"/>
          <w:b/>
        </w:rPr>
      </w:pPr>
      <w:bookmarkStart w:id="0" w:name="_GoBack"/>
      <w:bookmarkEnd w:id="0"/>
    </w:p>
    <w:p>
      <w:pPr>
        <w:pStyle w:val="5"/>
        <w:jc w:val="left"/>
        <w:rPr>
          <w:sz w:val="40"/>
          <w:szCs w:val="48"/>
        </w:rPr>
      </w:pPr>
      <w:r>
        <w:rPr>
          <w:sz w:val="40"/>
          <w:szCs w:val="48"/>
        </w:rPr>
        <w:drawing>
          <wp:inline distT="0" distB="0" distL="114300" distR="114300">
            <wp:extent cx="5868670" cy="5567680"/>
            <wp:effectExtent l="0" t="0" r="8255" b="444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6"/>
                    <a:stretch>
                      <a:fillRect/>
                    </a:stretch>
                  </pic:blipFill>
                  <pic:spPr>
                    <a:xfrm>
                      <a:off x="0" y="0"/>
                      <a:ext cx="5868670" cy="5567680"/>
                    </a:xfrm>
                    <a:prstGeom prst="rect">
                      <a:avLst/>
                    </a:prstGeom>
                    <a:noFill/>
                    <a:ln>
                      <a:noFill/>
                    </a:ln>
                  </pic:spPr>
                </pic:pic>
              </a:graphicData>
            </a:graphic>
          </wp:inline>
        </w:drawing>
      </w:r>
    </w:p>
    <w:p>
      <w:pPr>
        <w:jc w:val="center"/>
        <w:rPr>
          <w:lang w:val="en-GB"/>
        </w:rPr>
      </w:pPr>
      <w:r>
        <w:rPr>
          <w:b/>
          <w:bCs/>
          <w:lang w:val="en-GB"/>
        </w:rPr>
        <w:t>Fig</w:t>
      </w:r>
      <w:r>
        <w:rPr>
          <w:rFonts w:hint="eastAsia"/>
          <w:b/>
          <w:bCs/>
          <w:lang w:val="en-US" w:eastAsia="zh-CN"/>
        </w:rPr>
        <w:t>.</w:t>
      </w:r>
      <w:r>
        <w:rPr>
          <w:b/>
          <w:bCs/>
          <w:lang w:val="en-GB"/>
        </w:rPr>
        <w:t xml:space="preserve"> S</w:t>
      </w:r>
      <w:r>
        <w:rPr>
          <w:rFonts w:hint="eastAsia"/>
          <w:b/>
          <w:bCs/>
          <w:lang w:val="en-US" w:eastAsia="zh-CN"/>
        </w:rPr>
        <w:t>1</w:t>
      </w:r>
      <w:r>
        <w:rPr>
          <w:lang w:val="en-GB"/>
        </w:rPr>
        <w:t xml:space="preserve"> Strength, closeness and betweenness of </w:t>
      </w:r>
      <w:r>
        <w:rPr>
          <w:rFonts w:hint="eastAsia"/>
          <w:lang w:val="en-US" w:eastAsia="zh-CN"/>
        </w:rPr>
        <w:t>psychological well-being</w:t>
      </w:r>
      <w:r>
        <w:rPr>
          <w:lang w:val="en-GB"/>
        </w:rPr>
        <w:t xml:space="preserve"> network</w:t>
      </w:r>
    </w:p>
    <w:p>
      <w:pPr>
        <w:jc w:val="both"/>
        <w:rPr>
          <w:lang w:val="en-GB"/>
        </w:rPr>
      </w:pPr>
      <w:r>
        <w:rPr>
          <w:sz w:val="40"/>
          <w:szCs w:val="48"/>
        </w:rPr>
        <w:drawing>
          <wp:inline distT="0" distB="0" distL="114300" distR="114300">
            <wp:extent cx="5269865" cy="4302760"/>
            <wp:effectExtent l="0" t="0" r="6985" b="254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7"/>
                    <a:stretch>
                      <a:fillRect/>
                    </a:stretch>
                  </pic:blipFill>
                  <pic:spPr>
                    <a:xfrm>
                      <a:off x="0" y="0"/>
                      <a:ext cx="5269865" cy="4302760"/>
                    </a:xfrm>
                    <a:prstGeom prst="rect">
                      <a:avLst/>
                    </a:prstGeom>
                    <a:noFill/>
                    <a:ln>
                      <a:noFill/>
                    </a:ln>
                  </pic:spPr>
                </pic:pic>
              </a:graphicData>
            </a:graphic>
          </wp:inline>
        </w:drawing>
      </w:r>
    </w:p>
    <w:p>
      <w:pPr>
        <w:jc w:val="center"/>
        <w:rPr>
          <w:lang w:val="en-GB"/>
        </w:rPr>
      </w:pPr>
      <w:r>
        <w:rPr>
          <w:lang w:val="en-GB"/>
        </w:rPr>
        <w:t xml:space="preserve">Figure </w:t>
      </w:r>
      <w:r>
        <w:rPr>
          <w:rFonts w:hint="eastAsia"/>
          <w:lang w:val="en-US" w:eastAsia="zh-CN"/>
        </w:rPr>
        <w:t>S2</w:t>
      </w:r>
      <w:r>
        <w:rPr>
          <w:lang w:val="en-GB"/>
        </w:rPr>
        <w:t xml:space="preserve">. Bootstrapped confidence intervals of estimated edge-weights for the estimated network of </w:t>
      </w:r>
      <w:r>
        <w:rPr>
          <w:rFonts w:hint="eastAsia"/>
          <w:lang w:val="en-US" w:eastAsia="zh-CN"/>
        </w:rPr>
        <w:t>31</w:t>
      </w:r>
      <w:r>
        <w:rPr>
          <w:lang w:val="en-GB"/>
        </w:rPr>
        <w:t xml:space="preserve"> </w:t>
      </w:r>
      <w:r>
        <w:rPr>
          <w:rFonts w:hint="eastAsia"/>
          <w:lang w:val="en-US" w:eastAsia="zh-CN"/>
        </w:rPr>
        <w:t>node</w:t>
      </w:r>
      <w:r>
        <w:rPr>
          <w:lang w:val="en-GB"/>
        </w:rPr>
        <w:t>s. The red line indicates the sample values and the gray area the bootstrapped CIs. Each horizontal line represents one edge of the network. The y-axis labels have been removed to avoid cluttering.</w:t>
      </w:r>
    </w:p>
    <w:p>
      <w:pPr>
        <w:jc w:val="center"/>
        <w:rPr>
          <w:lang w:val="en-GB"/>
        </w:rPr>
      </w:pPr>
    </w:p>
    <w:p>
      <w:pPr>
        <w:jc w:val="center"/>
        <w:rPr>
          <w:lang w:val="en-GB"/>
        </w:rPr>
      </w:pPr>
    </w:p>
    <w:p>
      <w:pPr>
        <w:jc w:val="center"/>
        <w:rPr>
          <w:lang w:val="en-GB"/>
        </w:rPr>
      </w:pPr>
    </w:p>
    <w:p>
      <w:pPr>
        <w:jc w:val="center"/>
        <w:rPr>
          <w:lang w:val="en-GB"/>
        </w:rPr>
      </w:pPr>
    </w:p>
    <w:p>
      <w:pPr>
        <w:jc w:val="center"/>
        <w:rPr>
          <w:lang w:val="en-GB"/>
        </w:rPr>
      </w:pPr>
    </w:p>
    <w:p>
      <w:pPr>
        <w:jc w:val="center"/>
        <w:rPr>
          <w:lang w:val="en-GB"/>
        </w:rPr>
      </w:pPr>
    </w:p>
    <w:p>
      <w:pPr>
        <w:jc w:val="left"/>
        <w:rPr>
          <w:lang w:val="en-GB"/>
        </w:rPr>
      </w:pPr>
    </w:p>
    <w:p>
      <w:pPr>
        <w:jc w:val="center"/>
        <w:rPr>
          <w:lang w:val="en-GB"/>
        </w:rPr>
      </w:pPr>
      <w:r>
        <w:rPr>
          <w:sz w:val="40"/>
          <w:szCs w:val="48"/>
        </w:rPr>
        <w:drawing>
          <wp:inline distT="0" distB="0" distL="114300" distR="114300">
            <wp:extent cx="5633720" cy="5212080"/>
            <wp:effectExtent l="0" t="0" r="5080" b="762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8"/>
                    <a:stretch>
                      <a:fillRect/>
                    </a:stretch>
                  </pic:blipFill>
                  <pic:spPr>
                    <a:xfrm>
                      <a:off x="0" y="0"/>
                      <a:ext cx="5633720" cy="5212080"/>
                    </a:xfrm>
                    <a:prstGeom prst="rect">
                      <a:avLst/>
                    </a:prstGeom>
                    <a:noFill/>
                    <a:ln>
                      <a:noFill/>
                    </a:ln>
                  </pic:spPr>
                </pic:pic>
              </a:graphicData>
            </a:graphic>
          </wp:inline>
        </w:drawing>
      </w:r>
    </w:p>
    <w:p>
      <w:pPr>
        <w:jc w:val="center"/>
        <w:rPr>
          <w:lang w:val="en-GB"/>
        </w:rPr>
      </w:pPr>
      <w:r>
        <w:rPr>
          <w:lang w:val="en-GB"/>
        </w:rPr>
        <w:t>Figure S</w:t>
      </w:r>
      <w:r>
        <w:rPr>
          <w:rFonts w:hint="eastAsia"/>
          <w:lang w:val="en-US" w:eastAsia="zh-CN"/>
        </w:rPr>
        <w:t>3</w:t>
      </w:r>
      <w:r>
        <w:rPr>
          <w:lang w:val="en-GB"/>
        </w:rPr>
        <w:t>. Bootstrapped difference tests (α = 0.05) between edgeweights that were non-zero in the estimated network. Gray boxes indicate edges that do not differ significantly from one-another and black boxes represent edges that do differ significantly from oneanother. Colored boxes in the edge-weight plot correspond to the color of the edge in Fig. 1 in the main text.</w:t>
      </w:r>
    </w:p>
    <w:p>
      <w:pPr>
        <w:jc w:val="center"/>
        <w:rPr>
          <w:lang w:val="en-GB"/>
        </w:rPr>
      </w:pPr>
    </w:p>
    <w:p>
      <w:pPr>
        <w:jc w:val="center"/>
        <w:rPr>
          <w:lang w:val="en-GB"/>
        </w:rPr>
      </w:pPr>
    </w:p>
    <w:p>
      <w:pPr>
        <w:jc w:val="center"/>
        <w:rPr>
          <w:lang w:val="en-GB"/>
        </w:rPr>
      </w:pPr>
    </w:p>
    <w:p>
      <w:pPr>
        <w:jc w:val="center"/>
        <w:rPr>
          <w:lang w:val="en-GB"/>
        </w:rPr>
      </w:pPr>
    </w:p>
    <w:p>
      <w:pPr>
        <w:jc w:val="center"/>
        <w:rPr>
          <w:sz w:val="40"/>
          <w:szCs w:val="48"/>
        </w:rPr>
      </w:pPr>
      <w:r>
        <w:rPr>
          <w:sz w:val="40"/>
          <w:szCs w:val="48"/>
        </w:rPr>
        <w:drawing>
          <wp:inline distT="0" distB="0" distL="114300" distR="114300">
            <wp:extent cx="4408170" cy="5596255"/>
            <wp:effectExtent l="0" t="0" r="1905" b="4445"/>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9"/>
                    <a:stretch>
                      <a:fillRect/>
                    </a:stretch>
                  </pic:blipFill>
                  <pic:spPr>
                    <a:xfrm>
                      <a:off x="0" y="0"/>
                      <a:ext cx="4408170" cy="5596255"/>
                    </a:xfrm>
                    <a:prstGeom prst="rect">
                      <a:avLst/>
                    </a:prstGeom>
                    <a:noFill/>
                    <a:ln>
                      <a:noFill/>
                    </a:ln>
                  </pic:spPr>
                </pic:pic>
              </a:graphicData>
            </a:graphic>
          </wp:inline>
        </w:drawing>
      </w:r>
    </w:p>
    <w:p>
      <w:pPr>
        <w:jc w:val="center"/>
        <w:rPr>
          <w:lang w:val="en-GB"/>
        </w:rPr>
      </w:pPr>
      <w:r>
        <w:rPr>
          <w:lang w:val="en-GB"/>
        </w:rPr>
        <w:t>Figure S</w:t>
      </w:r>
      <w:r>
        <w:rPr>
          <w:rFonts w:hint="eastAsia"/>
          <w:lang w:val="en-US" w:eastAsia="zh-CN"/>
        </w:rPr>
        <w:t>4</w:t>
      </w:r>
      <w:r>
        <w:rPr>
          <w:lang w:val="en-GB"/>
        </w:rPr>
        <w:t>. Average correlations between centrality indices of networks sampled with persons dropped and the original sample. Lines indicate the means and areas indicate the range from the 2.5th quantile to the 97.5th quantile.</w:t>
      </w:r>
    </w:p>
    <w:p>
      <w:pPr>
        <w:jc w:val="center"/>
        <w:rPr>
          <w:sz w:val="40"/>
          <w:szCs w:val="48"/>
          <w:lang w:val="en-GB"/>
        </w:rPr>
      </w:pPr>
    </w:p>
    <w:p>
      <w:pPr>
        <w:jc w:val="center"/>
        <w:rPr>
          <w:lang w:val="en-GB"/>
        </w:rPr>
      </w:pPr>
    </w:p>
    <w:p>
      <w:pPr>
        <w:jc w:val="center"/>
        <w:rPr>
          <w:lang w:val="en-GB"/>
        </w:rPr>
      </w:pPr>
    </w:p>
    <w:p>
      <w:pPr>
        <w:jc w:val="center"/>
        <w:rPr>
          <w:lang w:val="en-GB"/>
        </w:rPr>
      </w:pPr>
    </w:p>
    <w:p>
      <w:pPr>
        <w:jc w:val="both"/>
        <w:rPr>
          <w:lang w:val="en-GB"/>
        </w:rPr>
      </w:pPr>
    </w:p>
    <w:p>
      <w:pPr>
        <w:jc w:val="center"/>
        <w:rPr>
          <w:lang w:val="en-GB"/>
        </w:rPr>
      </w:pPr>
      <w:r>
        <w:rPr>
          <w:sz w:val="40"/>
          <w:szCs w:val="48"/>
        </w:rPr>
        <w:drawing>
          <wp:inline distT="0" distB="0" distL="114300" distR="114300">
            <wp:extent cx="5273040" cy="4052570"/>
            <wp:effectExtent l="0" t="0" r="3810" b="508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10"/>
                    <a:stretch>
                      <a:fillRect/>
                    </a:stretch>
                  </pic:blipFill>
                  <pic:spPr>
                    <a:xfrm>
                      <a:off x="0" y="0"/>
                      <a:ext cx="5273040" cy="4052570"/>
                    </a:xfrm>
                    <a:prstGeom prst="rect">
                      <a:avLst/>
                    </a:prstGeom>
                    <a:noFill/>
                    <a:ln>
                      <a:noFill/>
                    </a:ln>
                  </pic:spPr>
                </pic:pic>
              </a:graphicData>
            </a:graphic>
          </wp:inline>
        </w:drawing>
      </w:r>
    </w:p>
    <w:p>
      <w:pPr>
        <w:jc w:val="center"/>
        <w:rPr>
          <w:lang w:val="en-GB"/>
        </w:rPr>
      </w:pPr>
      <w:r>
        <w:rPr>
          <w:lang w:val="en-GB"/>
        </w:rPr>
        <w:t>Figure S</w:t>
      </w:r>
      <w:r>
        <w:rPr>
          <w:rFonts w:hint="eastAsia"/>
          <w:lang w:val="en-US" w:eastAsia="zh-CN"/>
        </w:rPr>
        <w:t>5</w:t>
      </w:r>
      <w:r>
        <w:rPr>
          <w:lang w:val="en-GB"/>
        </w:rPr>
        <w:t xml:space="preserve">. Bootstrapped difference tests (α = 0.05) between node strength of the </w:t>
      </w:r>
      <w:r>
        <w:rPr>
          <w:rFonts w:hint="eastAsia"/>
          <w:lang w:val="en-US" w:eastAsia="zh-CN"/>
        </w:rPr>
        <w:t>31</w:t>
      </w:r>
      <w:r>
        <w:rPr>
          <w:lang w:val="en-GB"/>
        </w:rPr>
        <w:t xml:space="preserve"> </w:t>
      </w:r>
      <w:r>
        <w:rPr>
          <w:rFonts w:hint="eastAsia"/>
          <w:lang w:val="en-US" w:eastAsia="zh-CN"/>
        </w:rPr>
        <w:t>psychological well-being node</w:t>
      </w:r>
      <w:r>
        <w:rPr>
          <w:lang w:val="en-GB"/>
        </w:rPr>
        <w:t>s. Gray boxes indicate nodes that do not differ significantly from one-another and black boxes represent nodes that do differ significantly from oneanother. White boxes in the centrality plot show the value of node strength</w:t>
      </w:r>
    </w:p>
    <w:p>
      <w:pPr>
        <w:jc w:val="center"/>
        <w:rPr>
          <w:lang w:val="en-GB"/>
        </w:rPr>
      </w:pPr>
    </w:p>
    <w:p>
      <w:pPr>
        <w:pStyle w:val="5"/>
        <w:jc w:val="left"/>
        <w:rPr>
          <w:sz w:val="40"/>
          <w:szCs w:val="48"/>
        </w:rPr>
      </w:pP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480" w:lineRule="auto"/>
      </w:pPr>
      <w:r>
        <w:separator/>
      </w:r>
    </w:p>
  </w:footnote>
  <w:footnote w:type="continuationSeparator" w:id="1">
    <w:p>
      <w:pPr>
        <w:spacing w:before="0" w:after="0" w:line="48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143159"/>
    <w:rsid w:val="06B17456"/>
    <w:rsid w:val="26743A88"/>
    <w:rsid w:val="5B143159"/>
    <w:rsid w:val="6D2547BC"/>
    <w:rsid w:val="71650F35"/>
    <w:rsid w:val="76211CA6"/>
    <w:rsid w:val="7BCF1B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after="0" w:line="480" w:lineRule="auto"/>
    </w:pPr>
    <w:rPr>
      <w:rFonts w:ascii="Times New Roman" w:hAnsi="Times New Roman" w:eastAsia="等线" w:cs="Times New Roman"/>
      <w:sz w:val="24"/>
      <w:szCs w:val="24"/>
      <w:lang w:val="en-US" w:eastAsia="en-US"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rPr>
      <w:rFonts w:ascii="Calibri" w:hAnsi="Calibri" w:eastAsia="宋体" w:cs="Times New Roman"/>
      <w:sz w:val="20"/>
      <w:szCs w:val="20"/>
    </w:rPr>
  </w:style>
  <w:style w:type="paragraph" w:customStyle="1" w:styleId="5">
    <w:name w:val="Author List"/>
    <w:basedOn w:val="1"/>
    <w:qFormat/>
    <w:uiPriority w:val="0"/>
    <w:pPr>
      <w:keepLines/>
      <w:jc w:val="center"/>
    </w:pPr>
  </w:style>
  <w:style w:type="character" w:customStyle="1" w:styleId="6">
    <w:name w:val="10"/>
    <w:basedOn w:val="4"/>
    <w:qFormat/>
    <w:uiPriority w:val="0"/>
    <w:rPr>
      <w:rFonts w:hint="default" w:ascii="Times New Roman" w:hAnsi="Times New Roman" w:cs="Times New Roman"/>
    </w:rPr>
  </w:style>
  <w:style w:type="paragraph" w:customStyle="1" w:styleId="7">
    <w:name w:val="No Spacing"/>
    <w:basedOn w:val="1"/>
    <w:qFormat/>
    <w:uiPriority w:val="0"/>
    <w:rPr>
      <w:rFonts w:ascii="Calibri" w:hAnsi="Calibri" w:eastAsia="宋体" w:cs="Times New Roman"/>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33</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2022-03-17T09:53:00Z</dcterms:created>
  <dc:creator>。周周snn</dc:creator>
  <cp:lastModifiedBy>。周周snn</cp:lastModifiedBy>
  <dcterms:modified xsi:type="dcterms:W3CDTF">2022-03-20T08:14:09Z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05B163D7DC194999A503DEFEEA2E1CEA</vt:lpwstr>
  </property>
</Properties>
</file>