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Appendix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Questions from RSNA 3D SIG Data Registry not included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805 Before using the 3D printed model, I was confident in the treatment plan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810 Use of the 3D printed model or guide was compatible with other aspects of my approach to this case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Questions posed to expert panel prior to modification in Delphi process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Anatomy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model's colors help identify structures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model's shape is accurate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model's size is accurate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model's tactile feedback is accurate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model's interactive features are functionally relevant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reflects the region of interest's relationship to other structures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model's interactive features reflect the region of interest's relationship to other structures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region of interest's colors help identify the pathology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region of interest's shape is reflective of the pathology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region of interest's size is reflective of the pathology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Utility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was useful for simulation teaching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was useful for procedure planning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was useful for communicating about the procedure with patients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was produced in adequate time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 am satisfied with the model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was useful during the procedure as a guide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was easy to use during the procedure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helped to decreased procedure time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helped to decrease supplies used during the procedure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was useful for pre-procedure simulation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was useful to determine approach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The model helped to decrease pre-procedure resources used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Experience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 would use a patient-specific 3D model in the future for this procedure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 recommend use of a patient-specific 3D model in the future for this procedure</w:t>
            </w:r>
          </w:p>
        </w:tc>
      </w:tr>
    </w:tbl>
    <w:p w:rsidR="00000000" w:rsidDel="00000000" w:rsidP="00000000" w:rsidRDefault="00000000" w:rsidRPr="00000000" w14:paraId="00000026">
      <w:pPr>
        <w:widowControl w:val="0"/>
        <w:spacing w:after="11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mbr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rPr>
      <w:rFonts w:ascii="Cambria" w:cs="Cambria" w:eastAsia="Cambria" w:hAnsi="Cambria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