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648D7" w14:textId="729F7E9D" w:rsidR="00AC50D7" w:rsidRPr="000F2B78" w:rsidRDefault="00D35688" w:rsidP="00AC50D7">
      <w:pPr>
        <w:pStyle w:val="Heading2"/>
      </w:pPr>
      <w:r>
        <w:rPr>
          <w:rFonts w:ascii="Times New Roman" w:eastAsia="Arial Unicode MS" w:hAnsi="Times New Roman" w:cs="Times New Roman"/>
          <w:i/>
          <w:iCs/>
          <w:sz w:val="20"/>
          <w:szCs w:val="20"/>
        </w:rPr>
        <w:t>Additional file</w:t>
      </w:r>
      <w:bookmarkStart w:id="0" w:name="_GoBack"/>
      <w:bookmarkEnd w:id="0"/>
      <w:r w:rsidR="00AC50D7" w:rsidRPr="000F2B78">
        <w:t xml:space="preserve"> 2</w:t>
      </w:r>
      <w:r w:rsidR="00AC50D7">
        <w:t xml:space="preserve"> – Literature Review Analysis Table</w:t>
      </w:r>
    </w:p>
    <w:p w14:paraId="73A5159A" w14:textId="77777777" w:rsidR="00AC50D7" w:rsidRPr="000F2B78" w:rsidRDefault="00AC50D7" w:rsidP="00AC50D7">
      <w:pPr>
        <w:rPr>
          <w:rFonts w:eastAsia="Arial Unicode MS" w:cs="Arial Unicode MS"/>
          <w:b/>
          <w:sz w:val="22"/>
          <w:szCs w:val="22"/>
        </w:rPr>
      </w:pPr>
    </w:p>
    <w:tbl>
      <w:tblPr>
        <w:tblW w:w="14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1925"/>
        <w:gridCol w:w="1283"/>
        <w:gridCol w:w="2086"/>
        <w:gridCol w:w="1310"/>
        <w:gridCol w:w="1604"/>
        <w:gridCol w:w="2086"/>
        <w:gridCol w:w="2889"/>
      </w:tblGrid>
      <w:tr w:rsidR="00AC50D7" w:rsidRPr="007F4247" w14:paraId="36404C73" w14:textId="77777777" w:rsidTr="007128AE">
        <w:trPr>
          <w:trHeight w:val="363"/>
          <w:jc w:val="center"/>
        </w:trPr>
        <w:tc>
          <w:tcPr>
            <w:tcW w:w="1404" w:type="dxa"/>
            <w:shd w:val="clear" w:color="auto" w:fill="FFF2CC"/>
          </w:tcPr>
          <w:p w14:paraId="1F3AA950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 xml:space="preserve">Author/s &amp; Year </w:t>
            </w:r>
          </w:p>
        </w:tc>
        <w:tc>
          <w:tcPr>
            <w:tcW w:w="1925" w:type="dxa"/>
            <w:shd w:val="clear" w:color="auto" w:fill="FFF2CC"/>
          </w:tcPr>
          <w:p w14:paraId="287E18FD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Aim(s)/</w:t>
            </w:r>
          </w:p>
          <w:p w14:paraId="08915ADC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Questions</w:t>
            </w:r>
          </w:p>
        </w:tc>
        <w:tc>
          <w:tcPr>
            <w:tcW w:w="1283" w:type="dxa"/>
            <w:shd w:val="clear" w:color="auto" w:fill="FFF2CC"/>
          </w:tcPr>
          <w:p w14:paraId="4B575F32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Design</w:t>
            </w:r>
          </w:p>
        </w:tc>
        <w:tc>
          <w:tcPr>
            <w:tcW w:w="2086" w:type="dxa"/>
            <w:shd w:val="clear" w:color="auto" w:fill="FFF2CC"/>
          </w:tcPr>
          <w:p w14:paraId="71EBE09F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Population/ Sample</w:t>
            </w:r>
          </w:p>
        </w:tc>
        <w:tc>
          <w:tcPr>
            <w:tcW w:w="1310" w:type="dxa"/>
            <w:shd w:val="clear" w:color="auto" w:fill="FFF2CC"/>
          </w:tcPr>
          <w:p w14:paraId="01151D57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Methods</w:t>
            </w:r>
          </w:p>
        </w:tc>
        <w:tc>
          <w:tcPr>
            <w:tcW w:w="1604" w:type="dxa"/>
            <w:shd w:val="clear" w:color="auto" w:fill="FFF2CC"/>
          </w:tcPr>
          <w:p w14:paraId="22134389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Analysis</w:t>
            </w:r>
          </w:p>
        </w:tc>
        <w:tc>
          <w:tcPr>
            <w:tcW w:w="2086" w:type="dxa"/>
            <w:shd w:val="clear" w:color="auto" w:fill="FFF2CC"/>
          </w:tcPr>
          <w:p w14:paraId="5812A9B3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Major</w:t>
            </w:r>
          </w:p>
          <w:p w14:paraId="5F050F94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Findings</w:t>
            </w:r>
          </w:p>
        </w:tc>
        <w:tc>
          <w:tcPr>
            <w:tcW w:w="2889" w:type="dxa"/>
            <w:shd w:val="clear" w:color="auto" w:fill="FFF2CC"/>
          </w:tcPr>
          <w:p w14:paraId="6033974D" w14:textId="77777777" w:rsidR="00AC50D7" w:rsidRPr="004317DA" w:rsidRDefault="00AC50D7" w:rsidP="007128AE">
            <w:pPr>
              <w:rPr>
                <w:rFonts w:eastAsia="Times New Roman" w:cs="Arial"/>
                <w:b/>
                <w:sz w:val="20"/>
                <w:szCs w:val="20"/>
              </w:rPr>
            </w:pPr>
            <w:r w:rsidRPr="004317DA">
              <w:rPr>
                <w:rFonts w:eastAsia="Times New Roman" w:cs="Arial"/>
                <w:b/>
                <w:sz w:val="20"/>
                <w:szCs w:val="20"/>
              </w:rPr>
              <w:t>Limitations/issues</w:t>
            </w:r>
          </w:p>
        </w:tc>
      </w:tr>
      <w:tr w:rsidR="00AC50D7" w:rsidRPr="007F4247" w14:paraId="2BB3DDBC" w14:textId="77777777" w:rsidTr="007128AE">
        <w:trPr>
          <w:trHeight w:val="1128"/>
          <w:jc w:val="center"/>
        </w:trPr>
        <w:tc>
          <w:tcPr>
            <w:tcW w:w="1404" w:type="dxa"/>
          </w:tcPr>
          <w:p w14:paraId="5BC1ABB2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FE4B64A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431FA9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Cassar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(2004)</w:t>
            </w:r>
          </w:p>
          <w:p w14:paraId="3C6663AB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F0A6C9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25" w:type="dxa"/>
          </w:tcPr>
          <w:p w14:paraId="0DF5A68B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develop and validate an Educational Environment Measure for the Operating Room</w:t>
            </w:r>
          </w:p>
        </w:tc>
        <w:tc>
          <w:tcPr>
            <w:tcW w:w="1283" w:type="dxa"/>
          </w:tcPr>
          <w:p w14:paraId="2402DE5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Mixed methods</w:t>
            </w:r>
          </w:p>
        </w:tc>
        <w:tc>
          <w:tcPr>
            <w:tcW w:w="2086" w:type="dxa"/>
          </w:tcPr>
          <w:p w14:paraId="1D1974A6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Consultants (n=7) for qualitative review</w:t>
            </w:r>
          </w:p>
          <w:p w14:paraId="749CB62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Basic surgical residents at Aberdeen Basic Surgery Rotation (n=26)</w:t>
            </w:r>
          </w:p>
        </w:tc>
        <w:tc>
          <w:tcPr>
            <w:tcW w:w="1310" w:type="dxa"/>
          </w:tcPr>
          <w:p w14:paraId="3B04082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Literature review and exploratory interviews n=7)</w:t>
            </w:r>
          </w:p>
          <w:p w14:paraId="24BA675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(n=26)</w:t>
            </w:r>
          </w:p>
        </w:tc>
        <w:tc>
          <w:tcPr>
            <w:tcW w:w="1604" w:type="dxa"/>
          </w:tcPr>
          <w:p w14:paraId="1E1A2E0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Reliability analysis (Cronbach alpha co-efficient) &amp; ANOVA</w:t>
            </w:r>
          </w:p>
        </w:tc>
        <w:tc>
          <w:tcPr>
            <w:tcW w:w="2086" w:type="dxa"/>
          </w:tcPr>
          <w:p w14:paraId="6D654ED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 valid and reliable Educational Measure</w:t>
            </w:r>
          </w:p>
          <w:p w14:paraId="628F393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Main tool</w:t>
            </w:r>
          </w:p>
          <w:p w14:paraId="2B92F76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Restrictive factors is learning opportunities</w:t>
            </w:r>
          </w:p>
        </w:tc>
        <w:tc>
          <w:tcPr>
            <w:tcW w:w="2889" w:type="dxa"/>
          </w:tcPr>
          <w:p w14:paraId="40291C8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Limited participants as pilot study.</w:t>
            </w:r>
          </w:p>
          <w:p w14:paraId="043759A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Single centred study</w:t>
            </w:r>
          </w:p>
          <w:p w14:paraId="5A773ED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Failure to identify hidden educational events from trainees</w:t>
            </w:r>
          </w:p>
        </w:tc>
      </w:tr>
      <w:tr w:rsidR="00AC50D7" w:rsidRPr="007F4247" w14:paraId="79967F98" w14:textId="77777777" w:rsidTr="007128AE">
        <w:trPr>
          <w:trHeight w:val="1873"/>
          <w:jc w:val="center"/>
        </w:trPr>
        <w:tc>
          <w:tcPr>
            <w:tcW w:w="1404" w:type="dxa"/>
          </w:tcPr>
          <w:p w14:paraId="2E4E3E4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AB8007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FF774F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34EA1A9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Kanashiro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(2006)</w:t>
            </w:r>
          </w:p>
          <w:p w14:paraId="5A9CB53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25" w:type="dxa"/>
          </w:tcPr>
          <w:p w14:paraId="48E21E7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validate the OREEM tool for use in North America</w:t>
            </w:r>
          </w:p>
          <w:p w14:paraId="25B74FEA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To evaluate and pilot the tool, and assess the environment at the local institution, and demographic bias. </w:t>
            </w:r>
          </w:p>
        </w:tc>
        <w:tc>
          <w:tcPr>
            <w:tcW w:w="1283" w:type="dxa"/>
          </w:tcPr>
          <w:p w14:paraId="04817C9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Cross-sectional survey</w:t>
            </w:r>
          </w:p>
        </w:tc>
        <w:tc>
          <w:tcPr>
            <w:tcW w:w="2086" w:type="dxa"/>
          </w:tcPr>
          <w:p w14:paraId="769518E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General surgery residents at one institution between November 2013 to January 2014 in Calgary, Canada</w:t>
            </w:r>
          </w:p>
        </w:tc>
        <w:tc>
          <w:tcPr>
            <w:tcW w:w="1310" w:type="dxa"/>
          </w:tcPr>
          <w:p w14:paraId="50EA09C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(n=22/23)</w:t>
            </w:r>
          </w:p>
        </w:tc>
        <w:tc>
          <w:tcPr>
            <w:tcW w:w="1604" w:type="dxa"/>
          </w:tcPr>
          <w:p w14:paraId="3D86BEE3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Mann-Whitney U</w:t>
            </w:r>
          </w:p>
          <w:p w14:paraId="7555D3E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 xml:space="preserve">Cronbach </w:t>
            </w:r>
            <w:proofErr w:type="spellStart"/>
            <w:r w:rsidRPr="004317DA">
              <w:rPr>
                <w:rFonts w:eastAsia="Times New Roman" w:cs="Arial"/>
                <w:sz w:val="20"/>
                <w:szCs w:val="20"/>
              </w:rPr>
              <w:t>ahpla</w:t>
            </w:r>
            <w:proofErr w:type="spellEnd"/>
            <w:r w:rsidRPr="004317DA">
              <w:rPr>
                <w:rFonts w:eastAsia="Times New Roman" w:cs="Arial"/>
                <w:sz w:val="20"/>
                <w:szCs w:val="20"/>
              </w:rPr>
              <w:t xml:space="preserve"> co-efficient for reliability analysis</w:t>
            </w:r>
          </w:p>
        </w:tc>
        <w:tc>
          <w:tcPr>
            <w:tcW w:w="2086" w:type="dxa"/>
          </w:tcPr>
          <w:p w14:paraId="78AED25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74% OREEM score labelled as satisfactory</w:t>
            </w:r>
          </w:p>
          <w:p w14:paraId="65C7CE22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 valid and reliable educational measure</w:t>
            </w:r>
          </w:p>
          <w:p w14:paraId="3D3BE4AA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Decreased satisfaction in female population.</w:t>
            </w:r>
          </w:p>
          <w:p w14:paraId="3DC0205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Poor pre-operative briefing.</w:t>
            </w:r>
          </w:p>
        </w:tc>
        <w:tc>
          <w:tcPr>
            <w:tcW w:w="2889" w:type="dxa"/>
          </w:tcPr>
          <w:p w14:paraId="0EA516C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Limited participants as pilot study.</w:t>
            </w:r>
          </w:p>
          <w:p w14:paraId="6E68799B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Single centred study</w:t>
            </w:r>
          </w:p>
          <w:p w14:paraId="390E25E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Failure to identify qualitative data</w:t>
            </w:r>
          </w:p>
          <w:p w14:paraId="6ED196E3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AC50D7" w:rsidRPr="007F4247" w14:paraId="0493D666" w14:textId="77777777" w:rsidTr="007128AE">
        <w:trPr>
          <w:trHeight w:val="1128"/>
          <w:jc w:val="center"/>
        </w:trPr>
        <w:tc>
          <w:tcPr>
            <w:tcW w:w="1404" w:type="dxa"/>
          </w:tcPr>
          <w:p w14:paraId="1DA9D13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Mahoney (2010)</w:t>
            </w:r>
          </w:p>
        </w:tc>
        <w:tc>
          <w:tcPr>
            <w:tcW w:w="1925" w:type="dxa"/>
          </w:tcPr>
          <w:p w14:paraId="16CD2E7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validate the STEEM tool for Australasia</w:t>
            </w:r>
          </w:p>
          <w:p w14:paraId="587B3C4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assess trainee satisfaction of the educational operating room environment</w:t>
            </w:r>
          </w:p>
        </w:tc>
        <w:tc>
          <w:tcPr>
            <w:tcW w:w="1283" w:type="dxa"/>
          </w:tcPr>
          <w:p w14:paraId="0AC45579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Mixed:</w:t>
            </w:r>
          </w:p>
          <w:p w14:paraId="290FC91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Cross-sectional survey</w:t>
            </w:r>
          </w:p>
          <w:p w14:paraId="5DA251CB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Qualitative </w:t>
            </w:r>
          </w:p>
        </w:tc>
        <w:tc>
          <w:tcPr>
            <w:tcW w:w="2086" w:type="dxa"/>
          </w:tcPr>
          <w:p w14:paraId="3728BBC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All residents registered to Royal </w:t>
            </w: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Australisian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College of Surgery</w:t>
            </w:r>
          </w:p>
        </w:tc>
        <w:tc>
          <w:tcPr>
            <w:tcW w:w="1310" w:type="dxa"/>
          </w:tcPr>
          <w:p w14:paraId="30B98642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(n=365/1500)</w:t>
            </w:r>
          </w:p>
        </w:tc>
        <w:tc>
          <w:tcPr>
            <w:tcW w:w="1604" w:type="dxa"/>
          </w:tcPr>
          <w:p w14:paraId="58606333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Mann-Whitney U</w:t>
            </w:r>
          </w:p>
          <w:p w14:paraId="04CA7179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Spearman’s Rho</w:t>
            </w:r>
          </w:p>
          <w:p w14:paraId="656FEF8B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 xml:space="preserve">Cronbach </w:t>
            </w:r>
            <w:proofErr w:type="spellStart"/>
            <w:r w:rsidRPr="004317DA">
              <w:rPr>
                <w:rFonts w:eastAsia="Times New Roman" w:cs="Arial"/>
                <w:sz w:val="20"/>
                <w:szCs w:val="20"/>
              </w:rPr>
              <w:t>ahpla</w:t>
            </w:r>
            <w:proofErr w:type="spellEnd"/>
            <w:r w:rsidRPr="004317DA">
              <w:rPr>
                <w:rFonts w:eastAsia="Times New Roman" w:cs="Arial"/>
                <w:sz w:val="20"/>
                <w:szCs w:val="20"/>
              </w:rPr>
              <w:t xml:space="preserve"> co-efficient for reliability analysis</w:t>
            </w:r>
          </w:p>
        </w:tc>
        <w:tc>
          <w:tcPr>
            <w:tcW w:w="2086" w:type="dxa"/>
          </w:tcPr>
          <w:p w14:paraId="1245975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 valid and reliable research tool</w:t>
            </w:r>
          </w:p>
          <w:p w14:paraId="12CCABE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Qualitative assessment highlighted areas to improve.</w:t>
            </w:r>
          </w:p>
        </w:tc>
        <w:tc>
          <w:tcPr>
            <w:tcW w:w="2889" w:type="dxa"/>
          </w:tcPr>
          <w:p w14:paraId="50EB334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Poor return rate</w:t>
            </w:r>
          </w:p>
          <w:p w14:paraId="6A1A0DE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Demographic data not collected, potential to bias</w:t>
            </w:r>
          </w:p>
        </w:tc>
      </w:tr>
      <w:tr w:rsidR="00AC50D7" w:rsidRPr="007F4247" w14:paraId="5E876B15" w14:textId="77777777" w:rsidTr="007128AE">
        <w:trPr>
          <w:trHeight w:val="1128"/>
          <w:jc w:val="center"/>
        </w:trPr>
        <w:tc>
          <w:tcPr>
            <w:tcW w:w="1404" w:type="dxa"/>
          </w:tcPr>
          <w:p w14:paraId="3694B01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Diwadkar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(2010)</w:t>
            </w:r>
          </w:p>
        </w:tc>
        <w:tc>
          <w:tcPr>
            <w:tcW w:w="1925" w:type="dxa"/>
          </w:tcPr>
          <w:p w14:paraId="0135370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identify differences in perception between junior and senior trainees</w:t>
            </w:r>
          </w:p>
          <w:p w14:paraId="718DEADA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To validate the tool for internal consistency and </w:t>
            </w: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reliability</w:t>
            </w:r>
          </w:p>
        </w:tc>
        <w:tc>
          <w:tcPr>
            <w:tcW w:w="1283" w:type="dxa"/>
          </w:tcPr>
          <w:p w14:paraId="6C779412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Cross-sectional survey</w:t>
            </w:r>
          </w:p>
        </w:tc>
        <w:tc>
          <w:tcPr>
            <w:tcW w:w="2086" w:type="dxa"/>
          </w:tcPr>
          <w:p w14:paraId="42786B0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Obstetric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and Gynaecology trainees in Ohio across 3 centres</w:t>
            </w:r>
          </w:p>
        </w:tc>
        <w:tc>
          <w:tcPr>
            <w:tcW w:w="1310" w:type="dxa"/>
          </w:tcPr>
          <w:p w14:paraId="20AFBCF3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(n=24/25)</w:t>
            </w:r>
          </w:p>
        </w:tc>
        <w:tc>
          <w:tcPr>
            <w:tcW w:w="1604" w:type="dxa"/>
          </w:tcPr>
          <w:p w14:paraId="10F066FC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 xml:space="preserve">Cronbach </w:t>
            </w:r>
            <w:proofErr w:type="spellStart"/>
            <w:r w:rsidRPr="004317DA">
              <w:rPr>
                <w:rFonts w:eastAsia="Times New Roman" w:cs="Arial"/>
                <w:sz w:val="20"/>
                <w:szCs w:val="20"/>
              </w:rPr>
              <w:t>ahpla</w:t>
            </w:r>
            <w:proofErr w:type="spellEnd"/>
            <w:r w:rsidRPr="004317DA">
              <w:rPr>
                <w:rFonts w:eastAsia="Times New Roman" w:cs="Arial"/>
                <w:sz w:val="20"/>
                <w:szCs w:val="20"/>
              </w:rPr>
              <w:t xml:space="preserve"> co-efficient for reliability analysis</w:t>
            </w:r>
          </w:p>
          <w:p w14:paraId="71AB8791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ANOVA</w:t>
            </w:r>
          </w:p>
          <w:p w14:paraId="5C7CC474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Shapiro-Wilks</w:t>
            </w:r>
          </w:p>
        </w:tc>
        <w:tc>
          <w:tcPr>
            <w:tcW w:w="2086" w:type="dxa"/>
          </w:tcPr>
          <w:p w14:paraId="39897CD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 valid and reliable research tool</w:t>
            </w:r>
          </w:p>
          <w:p w14:paraId="6A882B9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Different perceived environments across different sites</w:t>
            </w:r>
          </w:p>
        </w:tc>
        <w:tc>
          <w:tcPr>
            <w:tcW w:w="2889" w:type="dxa"/>
          </w:tcPr>
          <w:p w14:paraId="04FDED2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Small sample size</w:t>
            </w:r>
          </w:p>
          <w:p w14:paraId="1C7F666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Single time frame – variability may exist at different points of the academic year</w:t>
            </w:r>
          </w:p>
        </w:tc>
      </w:tr>
      <w:tr w:rsidR="00AC50D7" w:rsidRPr="007F4247" w14:paraId="189C33DE" w14:textId="77777777" w:rsidTr="007128AE">
        <w:trPr>
          <w:trHeight w:val="2438"/>
          <w:jc w:val="center"/>
        </w:trPr>
        <w:tc>
          <w:tcPr>
            <w:tcW w:w="1404" w:type="dxa"/>
          </w:tcPr>
          <w:p w14:paraId="0C23E849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</w:p>
          <w:p w14:paraId="58930253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Snyder (2012)</w:t>
            </w:r>
          </w:p>
          <w:p w14:paraId="1ACD00C6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</w:p>
          <w:p w14:paraId="45A35E82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</w:p>
          <w:p w14:paraId="276D6C02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925" w:type="dxa"/>
          </w:tcPr>
          <w:p w14:paraId="2BD546D8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To evaluate surgeons perceptions of teaching in the operating room via specific educational interactions.</w:t>
            </w:r>
          </w:p>
          <w:p w14:paraId="300B9633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To identify opportunities of improving operating room teaching.</w:t>
            </w:r>
          </w:p>
        </w:tc>
        <w:tc>
          <w:tcPr>
            <w:tcW w:w="1283" w:type="dxa"/>
          </w:tcPr>
          <w:p w14:paraId="478DF22D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Cross-sectional survey</w:t>
            </w:r>
          </w:p>
        </w:tc>
        <w:tc>
          <w:tcPr>
            <w:tcW w:w="2086" w:type="dxa"/>
          </w:tcPr>
          <w:p w14:paraId="2B908569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All residents under Accreditation Council of General Medical Education in America</w:t>
            </w:r>
          </w:p>
          <w:p w14:paraId="625AD78C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n = 4926 from May to September 2010</w:t>
            </w:r>
          </w:p>
        </w:tc>
        <w:tc>
          <w:tcPr>
            <w:tcW w:w="1310" w:type="dxa"/>
          </w:tcPr>
          <w:p w14:paraId="520BFDDC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Questionnaire (n=998/4926)</w:t>
            </w:r>
          </w:p>
        </w:tc>
        <w:tc>
          <w:tcPr>
            <w:tcW w:w="1604" w:type="dxa"/>
          </w:tcPr>
          <w:p w14:paraId="3116BF42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Pearson X</w:t>
            </w:r>
            <w:r w:rsidRPr="004317DA">
              <w:rPr>
                <w:rFonts w:eastAsia="Times New Roman" w:cs="Arial"/>
                <w:sz w:val="20"/>
                <w:szCs w:val="20"/>
                <w:vertAlign w:val="superscript"/>
              </w:rPr>
              <w:t>2</w:t>
            </w:r>
            <w:r w:rsidRPr="004317DA">
              <w:rPr>
                <w:rFonts w:eastAsia="Times New Roman" w:cs="Arial"/>
                <w:sz w:val="20"/>
                <w:szCs w:val="20"/>
              </w:rPr>
              <w:t xml:space="preserve"> Test</w:t>
            </w:r>
          </w:p>
        </w:tc>
        <w:tc>
          <w:tcPr>
            <w:tcW w:w="2086" w:type="dxa"/>
          </w:tcPr>
          <w:p w14:paraId="50B414C0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84% offer intra-operative advice.</w:t>
            </w:r>
          </w:p>
          <w:p w14:paraId="278CF86C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Only 18% undertake pre-operative briefing Only 37% undergo post-operative debrief on positive feedback and future objectives</w:t>
            </w:r>
          </w:p>
          <w:p w14:paraId="66230593" w14:textId="77777777" w:rsidR="00AC50D7" w:rsidRPr="004317DA" w:rsidRDefault="00AC50D7" w:rsidP="007128AE">
            <w:pPr>
              <w:ind w:right="292"/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Resident’s perception they are not performing cases despite logging them as so.</w:t>
            </w:r>
          </w:p>
        </w:tc>
        <w:tc>
          <w:tcPr>
            <w:tcW w:w="2889" w:type="dxa"/>
          </w:tcPr>
          <w:p w14:paraId="6899B709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Despite large sample site, poor return rate of questionnaire (non-responder bias).</w:t>
            </w:r>
          </w:p>
          <w:p w14:paraId="6C0FBDEB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Non-validated questionnaire.</w:t>
            </w:r>
          </w:p>
          <w:p w14:paraId="32F5BE8F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No faculty perception, with plausible hidden interactions not identified as teaching by trainees</w:t>
            </w:r>
          </w:p>
        </w:tc>
      </w:tr>
      <w:tr w:rsidR="00AC50D7" w:rsidRPr="007F4247" w14:paraId="274CCEE5" w14:textId="77777777" w:rsidTr="007128AE">
        <w:trPr>
          <w:trHeight w:val="1128"/>
          <w:jc w:val="center"/>
        </w:trPr>
        <w:tc>
          <w:tcPr>
            <w:tcW w:w="1404" w:type="dxa"/>
          </w:tcPr>
          <w:p w14:paraId="3B7E7CC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Al Sheikh (2012)</w:t>
            </w:r>
          </w:p>
        </w:tc>
        <w:tc>
          <w:tcPr>
            <w:tcW w:w="1925" w:type="dxa"/>
          </w:tcPr>
          <w:p w14:paraId="7E86A44D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assess perception of learning environment in Saudi Arabia, any gender discrepancy and for correlation with perception and academic success</w:t>
            </w:r>
          </w:p>
        </w:tc>
        <w:tc>
          <w:tcPr>
            <w:tcW w:w="1283" w:type="dxa"/>
          </w:tcPr>
          <w:p w14:paraId="0E5A2A6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Cross-sectional survey</w:t>
            </w:r>
          </w:p>
        </w:tc>
        <w:tc>
          <w:tcPr>
            <w:tcW w:w="2086" w:type="dxa"/>
          </w:tcPr>
          <w:p w14:paraId="3419011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Medical students in Saudi Arabia single University</w:t>
            </w:r>
          </w:p>
        </w:tc>
        <w:tc>
          <w:tcPr>
            <w:tcW w:w="1310" w:type="dxa"/>
          </w:tcPr>
          <w:p w14:paraId="3E4BA32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(n=91/145)</w:t>
            </w:r>
          </w:p>
        </w:tc>
        <w:tc>
          <w:tcPr>
            <w:tcW w:w="1604" w:type="dxa"/>
          </w:tcPr>
          <w:p w14:paraId="76BDDF4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Cronbach alpha co-</w:t>
            </w: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efficicient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for reliability analysis</w:t>
            </w:r>
          </w:p>
          <w:p w14:paraId="6D2CCDFC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Spearman’s rho</w:t>
            </w:r>
          </w:p>
        </w:tc>
        <w:tc>
          <w:tcPr>
            <w:tcW w:w="2086" w:type="dxa"/>
          </w:tcPr>
          <w:p w14:paraId="6AE73926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Valid and reliable tool</w:t>
            </w:r>
          </w:p>
          <w:p w14:paraId="438869B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Gender difference in perception biased unfavourably against female gender</w:t>
            </w:r>
          </w:p>
          <w:p w14:paraId="634C04D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No correlation between academic success </w:t>
            </w:r>
          </w:p>
        </w:tc>
        <w:tc>
          <w:tcPr>
            <w:tcW w:w="2889" w:type="dxa"/>
          </w:tcPr>
          <w:p w14:paraId="7661AB6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Limited to medical students – different population</w:t>
            </w:r>
          </w:p>
          <w:p w14:paraId="1BF87FD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Single centred</w:t>
            </w:r>
          </w:p>
        </w:tc>
      </w:tr>
      <w:tr w:rsidR="00AC50D7" w:rsidRPr="007F4247" w14:paraId="70EAB351" w14:textId="77777777" w:rsidTr="007128AE">
        <w:trPr>
          <w:trHeight w:val="2438"/>
          <w:jc w:val="center"/>
        </w:trPr>
        <w:tc>
          <w:tcPr>
            <w:tcW w:w="1404" w:type="dxa"/>
          </w:tcPr>
          <w:p w14:paraId="48A9E9BA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proofErr w:type="spellStart"/>
            <w:r w:rsidRPr="004317DA">
              <w:rPr>
                <w:rFonts w:eastAsia="Times New Roman" w:cs="Arial"/>
                <w:sz w:val="20"/>
                <w:szCs w:val="20"/>
              </w:rPr>
              <w:t>Binsaleh</w:t>
            </w:r>
            <w:proofErr w:type="spellEnd"/>
            <w:r w:rsidRPr="004317DA">
              <w:rPr>
                <w:rFonts w:eastAsia="Times New Roman" w:cs="Arial"/>
                <w:sz w:val="20"/>
                <w:szCs w:val="20"/>
              </w:rPr>
              <w:t xml:space="preserve"> (2015)</w:t>
            </w:r>
          </w:p>
        </w:tc>
        <w:tc>
          <w:tcPr>
            <w:tcW w:w="1925" w:type="dxa"/>
          </w:tcPr>
          <w:p w14:paraId="397869CD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To evaluate the theatre learning environment in Saudi Arabia.</w:t>
            </w:r>
          </w:p>
          <w:p w14:paraId="5B7FA028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To assess learning environment perception compared to stage of training.</w:t>
            </w:r>
          </w:p>
        </w:tc>
        <w:tc>
          <w:tcPr>
            <w:tcW w:w="1283" w:type="dxa"/>
          </w:tcPr>
          <w:p w14:paraId="4A3011B2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Cross-sectional survey</w:t>
            </w:r>
          </w:p>
        </w:tc>
        <w:tc>
          <w:tcPr>
            <w:tcW w:w="2086" w:type="dxa"/>
          </w:tcPr>
          <w:p w14:paraId="3123BA79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Urology residents in Saudi Arabia</w:t>
            </w:r>
          </w:p>
        </w:tc>
        <w:tc>
          <w:tcPr>
            <w:tcW w:w="1310" w:type="dxa"/>
          </w:tcPr>
          <w:p w14:paraId="42B58182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Questionnaire (n=33/72)</w:t>
            </w:r>
          </w:p>
        </w:tc>
        <w:tc>
          <w:tcPr>
            <w:tcW w:w="1604" w:type="dxa"/>
          </w:tcPr>
          <w:p w14:paraId="483631FE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Mann-Whitney U/Kruskal-Wallis</w:t>
            </w:r>
          </w:p>
          <w:p w14:paraId="6228A7FA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 xml:space="preserve">Cronbach </w:t>
            </w:r>
            <w:proofErr w:type="spellStart"/>
            <w:r w:rsidRPr="004317DA">
              <w:rPr>
                <w:rFonts w:eastAsia="Times New Roman" w:cs="Arial"/>
                <w:sz w:val="20"/>
                <w:szCs w:val="20"/>
              </w:rPr>
              <w:t>ahpla</w:t>
            </w:r>
            <w:proofErr w:type="spellEnd"/>
            <w:r w:rsidRPr="004317DA">
              <w:rPr>
                <w:rFonts w:eastAsia="Times New Roman" w:cs="Arial"/>
                <w:sz w:val="20"/>
                <w:szCs w:val="20"/>
              </w:rPr>
              <w:t xml:space="preserve"> co-efficient for reliability analysis</w:t>
            </w:r>
          </w:p>
        </w:tc>
        <w:tc>
          <w:tcPr>
            <w:tcW w:w="2086" w:type="dxa"/>
          </w:tcPr>
          <w:p w14:paraId="4CC0FF55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 xml:space="preserve">68% STEEM score, which has been determined ‘less than ideal’. Comparative </w:t>
            </w:r>
          </w:p>
          <w:p w14:paraId="23102DBB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No statistical significant difference in perception at different stages of training</w:t>
            </w:r>
          </w:p>
        </w:tc>
        <w:tc>
          <w:tcPr>
            <w:tcW w:w="2889" w:type="dxa"/>
          </w:tcPr>
          <w:p w14:paraId="3EB72E35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Small sample size</w:t>
            </w:r>
          </w:p>
          <w:p w14:paraId="147487D7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Gender bias owing to lack of female in training</w:t>
            </w:r>
          </w:p>
          <w:p w14:paraId="558BFBC0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Low (45% response rate)</w:t>
            </w:r>
          </w:p>
          <w:p w14:paraId="7645DAE0" w14:textId="77777777" w:rsidR="00AC50D7" w:rsidRPr="004317DA" w:rsidRDefault="00AC50D7" w:rsidP="007128AE">
            <w:pPr>
              <w:rPr>
                <w:rFonts w:eastAsia="Times New Roman" w:cs="Arial"/>
                <w:sz w:val="20"/>
                <w:szCs w:val="20"/>
              </w:rPr>
            </w:pPr>
            <w:r w:rsidRPr="004317DA">
              <w:rPr>
                <w:rFonts w:eastAsia="Times New Roman" w:cs="Arial"/>
                <w:sz w:val="20"/>
                <w:szCs w:val="20"/>
              </w:rPr>
              <w:t>Comparative results to other countries, but assessed as ‘less than ideal’</w:t>
            </w:r>
          </w:p>
        </w:tc>
      </w:tr>
      <w:tr w:rsidR="00AC50D7" w:rsidRPr="007F4247" w14:paraId="7A725F93" w14:textId="77777777" w:rsidTr="007128AE">
        <w:trPr>
          <w:trHeight w:val="1128"/>
          <w:jc w:val="center"/>
        </w:trPr>
        <w:tc>
          <w:tcPr>
            <w:tcW w:w="1404" w:type="dxa"/>
          </w:tcPr>
          <w:p w14:paraId="76EE12A6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Fryer (2016)</w:t>
            </w:r>
          </w:p>
        </w:tc>
        <w:tc>
          <w:tcPr>
            <w:tcW w:w="1925" w:type="dxa"/>
          </w:tcPr>
          <w:p w14:paraId="264E5D9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To assess whether trainee satisfaction and operating time changed with implementation of a autonomy and supervision assessment system</w:t>
            </w:r>
          </w:p>
        </w:tc>
        <w:tc>
          <w:tcPr>
            <w:tcW w:w="1283" w:type="dxa"/>
          </w:tcPr>
          <w:p w14:paraId="276A653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Cross sectional survey</w:t>
            </w:r>
          </w:p>
          <w:p w14:paraId="37B9E19F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Quasi-experimental</w:t>
            </w:r>
          </w:p>
        </w:tc>
        <w:tc>
          <w:tcPr>
            <w:tcW w:w="2086" w:type="dxa"/>
          </w:tcPr>
          <w:p w14:paraId="7111672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Consultants and resident at single centre  in Chicago, America </w:t>
            </w:r>
          </w:p>
        </w:tc>
        <w:tc>
          <w:tcPr>
            <w:tcW w:w="1310" w:type="dxa"/>
          </w:tcPr>
          <w:p w14:paraId="43AF2D9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(58)</w:t>
            </w:r>
          </w:p>
        </w:tc>
        <w:tc>
          <w:tcPr>
            <w:tcW w:w="1604" w:type="dxa"/>
          </w:tcPr>
          <w:p w14:paraId="3273EAD2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Wilcoxin</w:t>
            </w:r>
            <w:proofErr w:type="spellEnd"/>
          </w:p>
        </w:tc>
        <w:tc>
          <w:tcPr>
            <w:tcW w:w="2086" w:type="dxa"/>
          </w:tcPr>
          <w:p w14:paraId="2404374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No change in OREEM or operative time using systems to log autonomy and supervision ratings</w:t>
            </w:r>
          </w:p>
        </w:tc>
        <w:tc>
          <w:tcPr>
            <w:tcW w:w="2889" w:type="dxa"/>
          </w:tcPr>
          <w:p w14:paraId="50C99973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Single centred</w:t>
            </w:r>
          </w:p>
          <w:p w14:paraId="6110B7E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Low clinical value as expensive IT infra-structure required</w:t>
            </w:r>
          </w:p>
          <w:p w14:paraId="596B0A2E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Unable to match pre- and post- surveys</w:t>
            </w:r>
          </w:p>
        </w:tc>
      </w:tr>
      <w:tr w:rsidR="00AC50D7" w:rsidRPr="007F4247" w14:paraId="400C7449" w14:textId="77777777" w:rsidTr="007128AE">
        <w:trPr>
          <w:trHeight w:val="1128"/>
          <w:jc w:val="center"/>
        </w:trPr>
        <w:tc>
          <w:tcPr>
            <w:tcW w:w="1404" w:type="dxa"/>
          </w:tcPr>
          <w:p w14:paraId="10C9749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Al </w:t>
            </w: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Ramsi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(2019)</w:t>
            </w:r>
          </w:p>
        </w:tc>
        <w:tc>
          <w:tcPr>
            <w:tcW w:w="1925" w:type="dxa"/>
          </w:tcPr>
          <w:p w14:paraId="1B8A141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Explore perceptions of O&amp;G residents, and compare between two different hospitals</w:t>
            </w:r>
          </w:p>
        </w:tc>
        <w:tc>
          <w:tcPr>
            <w:tcW w:w="1283" w:type="dxa"/>
          </w:tcPr>
          <w:p w14:paraId="1B311397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Cross-sectional survey</w:t>
            </w:r>
          </w:p>
        </w:tc>
        <w:tc>
          <w:tcPr>
            <w:tcW w:w="2086" w:type="dxa"/>
          </w:tcPr>
          <w:p w14:paraId="44C956E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O&amp;G Residents in UAE across 2 centres </w:t>
            </w:r>
          </w:p>
        </w:tc>
        <w:tc>
          <w:tcPr>
            <w:tcW w:w="1310" w:type="dxa"/>
          </w:tcPr>
          <w:p w14:paraId="7B17CDF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Questionnaire (n=31/34)</w:t>
            </w:r>
          </w:p>
        </w:tc>
        <w:tc>
          <w:tcPr>
            <w:tcW w:w="1604" w:type="dxa"/>
          </w:tcPr>
          <w:p w14:paraId="5B451B60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Cronbach alpha co-</w:t>
            </w:r>
            <w:proofErr w:type="spellStart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efficicient</w:t>
            </w:r>
            <w:proofErr w:type="spellEnd"/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for reliability analysis</w:t>
            </w:r>
          </w:p>
          <w:p w14:paraId="053816F5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t-test</w:t>
            </w:r>
          </w:p>
        </w:tc>
        <w:tc>
          <w:tcPr>
            <w:tcW w:w="2086" w:type="dxa"/>
          </w:tcPr>
          <w:p w14:paraId="53D569C1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A valid and reliable tool</w:t>
            </w:r>
          </w:p>
          <w:p w14:paraId="3D46E628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Comparative positive correlation to other studies</w:t>
            </w:r>
          </w:p>
          <w:p w14:paraId="63F86C96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Correlation of each subscale</w:t>
            </w:r>
          </w:p>
        </w:tc>
        <w:tc>
          <w:tcPr>
            <w:tcW w:w="2889" w:type="dxa"/>
          </w:tcPr>
          <w:p w14:paraId="4C6AB173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Small sample</w:t>
            </w:r>
          </w:p>
          <w:p w14:paraId="34266564" w14:textId="77777777" w:rsidR="00AC50D7" w:rsidRPr="004317DA" w:rsidRDefault="00AC50D7" w:rsidP="007128AE">
            <w:pPr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</w:pPr>
            <w:r w:rsidRPr="004317DA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No qualitative research</w:t>
            </w:r>
          </w:p>
        </w:tc>
      </w:tr>
    </w:tbl>
    <w:p w14:paraId="38D5EEE2" w14:textId="77777777" w:rsidR="00AC50D7" w:rsidRDefault="00AC50D7" w:rsidP="00AC50D7"/>
    <w:p w14:paraId="023A3031" w14:textId="77777777" w:rsidR="00AC50D7" w:rsidRDefault="00AC50D7" w:rsidP="00AC50D7"/>
    <w:p w14:paraId="0B095075" w14:textId="77777777" w:rsidR="00CB3C88" w:rsidRDefault="00CB3C88"/>
    <w:sectPr w:rsidR="00CB3C88" w:rsidSect="00AC50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D7"/>
    <w:rsid w:val="00177D94"/>
    <w:rsid w:val="001E305B"/>
    <w:rsid w:val="002442E5"/>
    <w:rsid w:val="00263C3C"/>
    <w:rsid w:val="002720B2"/>
    <w:rsid w:val="0036149E"/>
    <w:rsid w:val="003C33BA"/>
    <w:rsid w:val="0041443B"/>
    <w:rsid w:val="00434B4E"/>
    <w:rsid w:val="004768A0"/>
    <w:rsid w:val="00565673"/>
    <w:rsid w:val="00583DB0"/>
    <w:rsid w:val="0063447A"/>
    <w:rsid w:val="006A7634"/>
    <w:rsid w:val="00716FE0"/>
    <w:rsid w:val="007C15BE"/>
    <w:rsid w:val="0088536D"/>
    <w:rsid w:val="008B2158"/>
    <w:rsid w:val="00973035"/>
    <w:rsid w:val="009F7556"/>
    <w:rsid w:val="00AC50D7"/>
    <w:rsid w:val="00B7666B"/>
    <w:rsid w:val="00BF74E2"/>
    <w:rsid w:val="00C44F8F"/>
    <w:rsid w:val="00C7642B"/>
    <w:rsid w:val="00CB3C88"/>
    <w:rsid w:val="00D35688"/>
    <w:rsid w:val="00D7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B2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D7"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0D7"/>
    <w:pPr>
      <w:keepNext/>
      <w:keepLines/>
      <w:outlineLvl w:val="1"/>
    </w:pPr>
    <w:rPr>
      <w:rFonts w:eastAsiaTheme="majorEastAsia" w:cstheme="majorBidi"/>
      <w:b/>
      <w:b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50D7"/>
    <w:rPr>
      <w:rFonts w:eastAsiaTheme="majorEastAsia" w:cstheme="majorBidi"/>
      <w:b/>
      <w:bCs/>
      <w:sz w:val="22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D7"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0D7"/>
    <w:pPr>
      <w:keepNext/>
      <w:keepLines/>
      <w:outlineLvl w:val="1"/>
    </w:pPr>
    <w:rPr>
      <w:rFonts w:eastAsiaTheme="majorEastAsia" w:cstheme="majorBidi"/>
      <w:b/>
      <w:b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50D7"/>
    <w:rPr>
      <w:rFonts w:eastAsiaTheme="majorEastAsia" w:cstheme="majorBidi"/>
      <w:b/>
      <w:bCs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FrancisWilfred Gante</cp:lastModifiedBy>
  <cp:revision>2</cp:revision>
  <dcterms:created xsi:type="dcterms:W3CDTF">2022-06-23T19:48:00Z</dcterms:created>
  <dcterms:modified xsi:type="dcterms:W3CDTF">2022-10-28T13:45:00Z</dcterms:modified>
</cp:coreProperties>
</file>