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A7A735" w14:textId="420E49D3" w:rsidR="00EC4A7B" w:rsidRDefault="00EC4A7B"/>
    <w:p w14:paraId="3933073C" w14:textId="6967C7D9" w:rsidR="00D724F8" w:rsidRDefault="00D724F8">
      <w:bookmarkStart w:id="0" w:name="_GoBack"/>
      <w:r>
        <w:rPr>
          <w:rStyle w:val="normaltextrun"/>
          <w:rFonts w:ascii="Arial" w:hAnsi="Arial" w:cs="Arial"/>
        </w:rPr>
        <w:t xml:space="preserve">Additional file 2: </w:t>
      </w:r>
      <w:r w:rsidRPr="70FF01BB">
        <w:rPr>
          <w:rStyle w:val="normaltextrun"/>
          <w:rFonts w:ascii="Arial" w:hAnsi="Arial" w:cs="Arial"/>
        </w:rPr>
        <w:t xml:space="preserve">Table S2. Cochrane bias test </w:t>
      </w:r>
      <w:bookmarkStart w:id="1" w:name="_Hlk106044339"/>
      <w:r w:rsidRPr="70FF01BB">
        <w:rPr>
          <w:rStyle w:val="normaltextrun"/>
          <w:rFonts w:ascii="Arial" w:hAnsi="Arial" w:cs="Arial"/>
        </w:rPr>
        <w:t xml:space="preserve">for </w:t>
      </w:r>
      <w:r>
        <w:rPr>
          <w:rStyle w:val="normaltextrun"/>
          <w:rFonts w:ascii="Arial" w:hAnsi="Arial" w:cs="Arial"/>
        </w:rPr>
        <w:t>the</w:t>
      </w:r>
      <w:r w:rsidRPr="70FF01BB">
        <w:rPr>
          <w:rStyle w:val="normaltextrun"/>
          <w:rFonts w:ascii="Arial" w:hAnsi="Arial" w:cs="Arial"/>
        </w:rPr>
        <w:t xml:space="preserve"> articles included in the review.</w:t>
      </w:r>
      <w:bookmarkEnd w:id="1"/>
      <w:bookmarkEnd w:id="0"/>
    </w:p>
    <w:tbl>
      <w:tblPr>
        <w:tblW w:w="13014" w:type="dxa"/>
        <w:tblLayout w:type="fixed"/>
        <w:tblCellMar>
          <w:top w:w="15" w:type="dxa"/>
          <w:left w:w="70" w:type="dxa"/>
          <w:bottom w:w="15" w:type="dxa"/>
          <w:right w:w="70" w:type="dxa"/>
        </w:tblCellMar>
        <w:tblLook w:val="04A0" w:firstRow="1" w:lastRow="0" w:firstColumn="1" w:lastColumn="0" w:noHBand="0" w:noVBand="1"/>
      </w:tblPr>
      <w:tblGrid>
        <w:gridCol w:w="983"/>
        <w:gridCol w:w="1868"/>
        <w:gridCol w:w="1931"/>
        <w:gridCol w:w="1269"/>
        <w:gridCol w:w="1860"/>
        <w:gridCol w:w="1842"/>
        <w:gridCol w:w="1701"/>
        <w:gridCol w:w="1560"/>
      </w:tblGrid>
      <w:tr w:rsidR="00D724F8" w:rsidRPr="001B782B" w14:paraId="031D8022" w14:textId="77777777" w:rsidTr="005A1E56">
        <w:trPr>
          <w:trHeight w:val="288"/>
        </w:trPr>
        <w:tc>
          <w:tcPr>
            <w:tcW w:w="983" w:type="dxa"/>
            <w:tcBorders>
              <w:top w:val="single" w:sz="8" w:space="0" w:color="auto"/>
              <w:left w:val="single" w:sz="8" w:space="0" w:color="auto"/>
              <w:bottom w:val="single" w:sz="4" w:space="0" w:color="auto"/>
              <w:right w:val="single" w:sz="4" w:space="0" w:color="auto"/>
            </w:tcBorders>
          </w:tcPr>
          <w:p w14:paraId="6775F93F" w14:textId="77777777" w:rsidR="00D724F8" w:rsidRPr="005372EC" w:rsidRDefault="00D724F8" w:rsidP="005A1E56">
            <w:pPr>
              <w:rPr>
                <w:rFonts w:ascii="Arial" w:hAnsi="Arial" w:cs="Arial"/>
                <w:b/>
                <w:bCs/>
                <w:sz w:val="16"/>
                <w:szCs w:val="16"/>
              </w:rPr>
            </w:pPr>
            <w:r w:rsidRPr="70FF01BB">
              <w:rPr>
                <w:rFonts w:ascii="Arial" w:hAnsi="Arial" w:cs="Arial"/>
                <w:b/>
                <w:bCs/>
                <w:sz w:val="16"/>
                <w:szCs w:val="16"/>
              </w:rPr>
              <w:t>Reference number</w:t>
            </w:r>
          </w:p>
        </w:tc>
        <w:tc>
          <w:tcPr>
            <w:tcW w:w="1868" w:type="dxa"/>
            <w:tcBorders>
              <w:top w:val="single" w:sz="8" w:space="0" w:color="auto"/>
              <w:left w:val="single" w:sz="8" w:space="0" w:color="auto"/>
              <w:bottom w:val="single" w:sz="4" w:space="0" w:color="auto"/>
              <w:right w:val="single" w:sz="4" w:space="0" w:color="auto"/>
            </w:tcBorders>
            <w:noWrap/>
            <w:vAlign w:val="bottom"/>
            <w:hideMark/>
          </w:tcPr>
          <w:p w14:paraId="33E7C712" w14:textId="77777777" w:rsidR="00D724F8" w:rsidRPr="001B782B" w:rsidRDefault="00D724F8" w:rsidP="005A1E56">
            <w:pPr>
              <w:spacing w:after="0" w:line="240" w:lineRule="auto"/>
              <w:rPr>
                <w:rFonts w:ascii="Arial" w:eastAsia="Times New Roman" w:hAnsi="Arial" w:cs="Arial"/>
                <w:b/>
                <w:bCs/>
                <w:color w:val="000000"/>
                <w:sz w:val="16"/>
                <w:szCs w:val="16"/>
                <w:lang w:eastAsia="es-ES"/>
              </w:rPr>
            </w:pPr>
            <w:r w:rsidRPr="70FF01BB">
              <w:rPr>
                <w:rFonts w:ascii="Arial" w:eastAsia="Times New Roman" w:hAnsi="Arial" w:cs="Arial"/>
                <w:b/>
                <w:bCs/>
                <w:color w:val="000000" w:themeColor="text1"/>
                <w:sz w:val="16"/>
                <w:szCs w:val="16"/>
              </w:rPr>
              <w:t>Authors</w:t>
            </w:r>
          </w:p>
        </w:tc>
        <w:tc>
          <w:tcPr>
            <w:tcW w:w="1931" w:type="dxa"/>
            <w:tcBorders>
              <w:top w:val="single" w:sz="8" w:space="0" w:color="auto"/>
              <w:left w:val="single" w:sz="8" w:space="0" w:color="auto"/>
              <w:bottom w:val="single" w:sz="4" w:space="0" w:color="auto"/>
              <w:right w:val="single" w:sz="4" w:space="0" w:color="auto"/>
            </w:tcBorders>
            <w:noWrap/>
            <w:vAlign w:val="bottom"/>
            <w:hideMark/>
          </w:tcPr>
          <w:p w14:paraId="5DCCC791" w14:textId="77777777" w:rsidR="00D724F8" w:rsidRPr="001B782B" w:rsidRDefault="00D724F8" w:rsidP="005A1E56">
            <w:pPr>
              <w:spacing w:after="0" w:line="240" w:lineRule="auto"/>
              <w:rPr>
                <w:rFonts w:ascii="Arial" w:eastAsia="Times New Roman" w:hAnsi="Arial" w:cs="Arial"/>
                <w:b/>
                <w:bCs/>
                <w:color w:val="000000"/>
                <w:sz w:val="16"/>
                <w:szCs w:val="16"/>
                <w:lang w:eastAsia="es-ES"/>
              </w:rPr>
            </w:pPr>
            <w:r w:rsidRPr="70FF01BB">
              <w:rPr>
                <w:rFonts w:ascii="Arial" w:eastAsia="Times New Roman" w:hAnsi="Arial" w:cs="Arial"/>
                <w:b/>
                <w:bCs/>
                <w:color w:val="000000" w:themeColor="text1"/>
                <w:sz w:val="16"/>
                <w:szCs w:val="16"/>
              </w:rPr>
              <w:t>Random sequence generation</w:t>
            </w:r>
          </w:p>
        </w:tc>
        <w:tc>
          <w:tcPr>
            <w:tcW w:w="1269" w:type="dxa"/>
            <w:tcBorders>
              <w:top w:val="single" w:sz="8" w:space="0" w:color="auto"/>
              <w:left w:val="single" w:sz="8" w:space="0" w:color="auto"/>
              <w:bottom w:val="single" w:sz="4" w:space="0" w:color="auto"/>
              <w:right w:val="single" w:sz="4" w:space="0" w:color="auto"/>
            </w:tcBorders>
            <w:noWrap/>
            <w:vAlign w:val="bottom"/>
            <w:hideMark/>
          </w:tcPr>
          <w:p w14:paraId="1410F133" w14:textId="77777777" w:rsidR="00D724F8" w:rsidRPr="001B782B" w:rsidRDefault="00D724F8" w:rsidP="005A1E56">
            <w:pPr>
              <w:spacing w:after="0" w:line="240" w:lineRule="auto"/>
              <w:rPr>
                <w:rFonts w:ascii="Arial" w:eastAsia="Times New Roman" w:hAnsi="Arial" w:cs="Arial"/>
                <w:b/>
                <w:bCs/>
                <w:color w:val="000000"/>
                <w:sz w:val="16"/>
                <w:szCs w:val="16"/>
                <w:lang w:eastAsia="es-ES"/>
              </w:rPr>
            </w:pPr>
            <w:r w:rsidRPr="70FF01BB">
              <w:rPr>
                <w:rFonts w:ascii="Arial" w:eastAsia="Times New Roman" w:hAnsi="Arial" w:cs="Arial"/>
                <w:b/>
                <w:bCs/>
                <w:color w:val="000000" w:themeColor="text1"/>
                <w:sz w:val="16"/>
                <w:szCs w:val="16"/>
              </w:rPr>
              <w:t>Selective reporting</w:t>
            </w:r>
          </w:p>
        </w:tc>
        <w:tc>
          <w:tcPr>
            <w:tcW w:w="1860" w:type="dxa"/>
            <w:tcBorders>
              <w:top w:val="single" w:sz="8" w:space="0" w:color="auto"/>
              <w:left w:val="single" w:sz="8" w:space="0" w:color="auto"/>
              <w:bottom w:val="single" w:sz="4" w:space="0" w:color="auto"/>
              <w:right w:val="single" w:sz="4" w:space="0" w:color="auto"/>
            </w:tcBorders>
            <w:noWrap/>
            <w:vAlign w:val="bottom"/>
            <w:hideMark/>
          </w:tcPr>
          <w:p w14:paraId="6901FE1A" w14:textId="77777777" w:rsidR="00D724F8" w:rsidRPr="001B782B" w:rsidRDefault="00D724F8" w:rsidP="005A1E56">
            <w:pPr>
              <w:spacing w:after="0" w:line="240" w:lineRule="auto"/>
              <w:rPr>
                <w:rFonts w:ascii="Arial" w:eastAsia="Times New Roman" w:hAnsi="Arial" w:cs="Arial"/>
                <w:b/>
                <w:bCs/>
                <w:color w:val="000000"/>
                <w:sz w:val="16"/>
                <w:szCs w:val="16"/>
                <w:lang w:eastAsia="es-ES"/>
              </w:rPr>
            </w:pPr>
            <w:r w:rsidRPr="70FF01BB">
              <w:rPr>
                <w:rFonts w:ascii="Arial" w:eastAsia="Times New Roman" w:hAnsi="Arial" w:cs="Arial"/>
                <w:b/>
                <w:bCs/>
                <w:color w:val="000000" w:themeColor="text1"/>
                <w:sz w:val="16"/>
                <w:szCs w:val="16"/>
              </w:rPr>
              <w:t>Blinding (participants and personnel)</w:t>
            </w:r>
          </w:p>
        </w:tc>
        <w:tc>
          <w:tcPr>
            <w:tcW w:w="1842" w:type="dxa"/>
            <w:tcBorders>
              <w:top w:val="single" w:sz="8" w:space="0" w:color="auto"/>
              <w:left w:val="single" w:sz="8" w:space="0" w:color="auto"/>
              <w:bottom w:val="single" w:sz="4" w:space="0" w:color="auto"/>
              <w:right w:val="single" w:sz="4" w:space="0" w:color="auto"/>
            </w:tcBorders>
            <w:noWrap/>
            <w:vAlign w:val="bottom"/>
            <w:hideMark/>
          </w:tcPr>
          <w:p w14:paraId="0C7E1DB7" w14:textId="77777777" w:rsidR="00D724F8" w:rsidRPr="001B782B" w:rsidRDefault="00D724F8" w:rsidP="005A1E56">
            <w:pPr>
              <w:spacing w:after="0" w:line="240" w:lineRule="auto"/>
              <w:rPr>
                <w:rFonts w:ascii="Arial" w:eastAsia="Times New Roman" w:hAnsi="Arial" w:cs="Arial"/>
                <w:b/>
                <w:bCs/>
                <w:color w:val="000000"/>
                <w:sz w:val="16"/>
                <w:szCs w:val="16"/>
                <w:lang w:eastAsia="es-ES"/>
              </w:rPr>
            </w:pPr>
            <w:r w:rsidRPr="70FF01BB">
              <w:rPr>
                <w:rFonts w:ascii="Arial" w:eastAsia="Times New Roman" w:hAnsi="Arial" w:cs="Arial"/>
                <w:b/>
                <w:bCs/>
                <w:color w:val="000000" w:themeColor="text1"/>
                <w:sz w:val="16"/>
                <w:szCs w:val="16"/>
              </w:rPr>
              <w:t>Blinding (outcome assessment)</w:t>
            </w:r>
          </w:p>
        </w:tc>
        <w:tc>
          <w:tcPr>
            <w:tcW w:w="1701" w:type="dxa"/>
            <w:tcBorders>
              <w:top w:val="single" w:sz="8" w:space="0" w:color="auto"/>
              <w:left w:val="single" w:sz="8" w:space="0" w:color="auto"/>
              <w:bottom w:val="single" w:sz="4" w:space="0" w:color="auto"/>
              <w:right w:val="single" w:sz="4" w:space="0" w:color="auto"/>
            </w:tcBorders>
            <w:noWrap/>
            <w:vAlign w:val="bottom"/>
            <w:hideMark/>
          </w:tcPr>
          <w:p w14:paraId="5D46A908" w14:textId="77777777" w:rsidR="00D724F8" w:rsidRPr="001B782B" w:rsidRDefault="00D724F8" w:rsidP="005A1E56">
            <w:pPr>
              <w:spacing w:after="0" w:line="240" w:lineRule="auto"/>
              <w:rPr>
                <w:rFonts w:ascii="Arial" w:eastAsia="Times New Roman" w:hAnsi="Arial" w:cs="Arial"/>
                <w:b/>
                <w:bCs/>
                <w:color w:val="000000"/>
                <w:sz w:val="16"/>
                <w:szCs w:val="16"/>
                <w:lang w:eastAsia="es-ES"/>
              </w:rPr>
            </w:pPr>
            <w:r w:rsidRPr="70FF01BB">
              <w:rPr>
                <w:rFonts w:ascii="Arial" w:eastAsia="Times New Roman" w:hAnsi="Arial" w:cs="Arial"/>
                <w:b/>
                <w:bCs/>
                <w:color w:val="000000" w:themeColor="text1"/>
                <w:sz w:val="16"/>
                <w:szCs w:val="16"/>
              </w:rPr>
              <w:t>Incomplete outcome data</w:t>
            </w:r>
          </w:p>
        </w:tc>
        <w:tc>
          <w:tcPr>
            <w:tcW w:w="1560" w:type="dxa"/>
            <w:tcBorders>
              <w:top w:val="single" w:sz="8" w:space="0" w:color="auto"/>
              <w:left w:val="single" w:sz="8" w:space="0" w:color="auto"/>
              <w:bottom w:val="single" w:sz="4" w:space="0" w:color="auto"/>
              <w:right w:val="single" w:sz="4" w:space="0" w:color="auto"/>
            </w:tcBorders>
            <w:noWrap/>
            <w:vAlign w:val="bottom"/>
            <w:hideMark/>
          </w:tcPr>
          <w:p w14:paraId="7ACF708B" w14:textId="77777777" w:rsidR="00D724F8" w:rsidRPr="001B782B" w:rsidRDefault="00D724F8" w:rsidP="005A1E56">
            <w:pPr>
              <w:spacing w:after="0" w:line="240" w:lineRule="auto"/>
              <w:rPr>
                <w:rFonts w:ascii="Arial" w:eastAsia="Times New Roman" w:hAnsi="Arial" w:cs="Arial"/>
                <w:b/>
                <w:bCs/>
                <w:color w:val="000000"/>
                <w:sz w:val="16"/>
                <w:szCs w:val="16"/>
                <w:lang w:eastAsia="es-ES"/>
              </w:rPr>
            </w:pPr>
            <w:r w:rsidRPr="70FF01BB">
              <w:rPr>
                <w:rFonts w:ascii="Arial" w:eastAsia="Times New Roman" w:hAnsi="Arial" w:cs="Arial"/>
                <w:b/>
                <w:bCs/>
                <w:color w:val="000000" w:themeColor="text1"/>
                <w:sz w:val="16"/>
                <w:szCs w:val="16"/>
              </w:rPr>
              <w:t>Overall</w:t>
            </w:r>
          </w:p>
        </w:tc>
      </w:tr>
      <w:tr w:rsidR="00D724F8" w:rsidRPr="005372EC" w14:paraId="0E7FEA18" w14:textId="77777777" w:rsidTr="005A1E56">
        <w:trPr>
          <w:trHeight w:val="288"/>
        </w:trPr>
        <w:tc>
          <w:tcPr>
            <w:tcW w:w="983" w:type="dxa"/>
            <w:tcBorders>
              <w:top w:val="nil"/>
              <w:left w:val="single" w:sz="8" w:space="0" w:color="auto"/>
              <w:bottom w:val="single" w:sz="4" w:space="0" w:color="auto"/>
              <w:right w:val="single" w:sz="4" w:space="0" w:color="auto"/>
            </w:tcBorders>
          </w:tcPr>
          <w:p w14:paraId="1DC940BE"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{"citationItems":[{"id":"ITEM-1","itemData":{"DOI":"10.1016/j.jamcollsurg.2010.09.025","ISSN":"10727515","abstract":"Background: Surgeons are often subject to excessive levels of acute stress that can impair their performance. Mental practice (MP) is a strategy used in other high-performance industries to alleviate anxiety. This study investigated if MP reduces stress in novice surgeons. Study Design A prospective, randomized controlled design was used with 20 novice surgeons recruited by random sampling. After baseline testing, participants underwent training on an evidence-based virtual reality (VR) curriculum. They then performed 5 VR laparoscopic cholecystectomies (LC) after being randomized to MP or control groups. The MP group performed 30 minutes of MP using a validated MP training protocol before each LC; control participants conducted an unrelated activity. Stress was assessed subjectively using the validated State-Trait Anxiety-Inventory (STAI) questionnaire and objectively with a continuous heart rate (HR) monitor and salivary cortisol. Mental imagery was assessed using the validated mental imagery questionnaire. Results Eighteen participants completed the study. There were no intergroup differences in baseline stress, imagery, or technical ability. Comparing the MP group with controls, subjective stress (STAI) was lower for the MP group (median 8.40 vs 11.31, p &lt; 0.01). Objective stress was also significantly reduced for the MP group in terms of the average HR (median 72 vs 88 beats/minute, p &lt; 0.0001), maximum HR (median 102 vs 119 beats/minute, p &lt; 0.01), and cortisol (median 2.26 vs 3.85 nmol/L, p &lt; 0.05). Significant negative correlations were obtained between stress and imagery, indicating that improved imagery was associated with lower stress (p &lt; 0.05). Conclusions A short period of MP reduces the subjective, cardiovascular, and neuroendocrine response to stress on a VR simulator. Additional research should determine whether this effect extends beyond novice surgeons and transfers to the operating room. © 2011 American College of Surgeons.","author":[{"dropping-particle":"","family":"Arora","given":"Sonal","non-dropping-particle":"","parse-names":false,"suffix":""},{"dropping-particle":"","family":"Aggarwal","given":"Rajesh","non-dropping-particle":"","parse-names":false,"suffix":""},{"dropping-particle":"","family":"Moran","given":"Aidan","non-dropping-particle":"","parse-names":false,"suffix":""},{"dropping-particle":"","family":"Sirimanna","given":"Pramudith","non-dropping-particle":"","parse-names":false,"suffix":""},{"dropping-particle":"","family":"Crochet","given":"Patrice","non-dropping-particle":"","parse-names":false,"suffix":""},{"dropping-particle":"","family":"Darzi","given":"Ara","non-dropping-particle":"","parse-names":false,"suffix":""},{"dropping-particle":"","family":"Kneebone","given":"Roger","non-dropping-particle":"","parse-names":false,"suffix":""},{"dropping-particle":"","family":"Sevdalis","given":"Nick","non-dropping-particle":"","parse-names":false,"suffix":""}],"container-title":"Journal of the American College of Surgeons","id":"ITEM-1","issue":"2","issued":{"date-parts":[["2011"]]},"page":"225-233","title":"Mental practice: Effective stress management training for novice surgeons","type":"article-journal","volume":"212"},"uris":["http://www.mendeley.com/documents/?uuid=ecd8e3ca-77dd-4834-8467-af1e9a4d9a3e"]}],"mendeley":{"formattedCitation":"(14)","plainTextFormattedCitation":"(14)","previouslyFormattedCitation":"(14)"},"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(14)</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4CC568D4"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Arora et al., 2010</w:t>
            </w:r>
          </w:p>
        </w:tc>
        <w:tc>
          <w:tcPr>
            <w:tcW w:w="1931" w:type="dxa"/>
            <w:tcBorders>
              <w:top w:val="nil"/>
              <w:left w:val="single" w:sz="8" w:space="0" w:color="auto"/>
              <w:bottom w:val="single" w:sz="4" w:space="0" w:color="auto"/>
              <w:right w:val="single" w:sz="4" w:space="0" w:color="auto"/>
            </w:tcBorders>
            <w:noWrap/>
            <w:vAlign w:val="bottom"/>
            <w:hideMark/>
          </w:tcPr>
          <w:p w14:paraId="4C537983"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269" w:type="dxa"/>
            <w:tcBorders>
              <w:top w:val="nil"/>
              <w:left w:val="single" w:sz="8" w:space="0" w:color="auto"/>
              <w:bottom w:val="single" w:sz="4" w:space="0" w:color="auto"/>
              <w:right w:val="single" w:sz="4" w:space="0" w:color="auto"/>
            </w:tcBorders>
            <w:noWrap/>
            <w:vAlign w:val="bottom"/>
            <w:hideMark/>
          </w:tcPr>
          <w:p w14:paraId="39697107"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1D21FC9A"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42" w:type="dxa"/>
            <w:tcBorders>
              <w:top w:val="nil"/>
              <w:left w:val="single" w:sz="8" w:space="0" w:color="auto"/>
              <w:bottom w:val="single" w:sz="4" w:space="0" w:color="auto"/>
              <w:right w:val="single" w:sz="4" w:space="0" w:color="auto"/>
            </w:tcBorders>
            <w:noWrap/>
            <w:vAlign w:val="bottom"/>
            <w:hideMark/>
          </w:tcPr>
          <w:p w14:paraId="3BE4585E"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421EDF5F"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N/A</w:t>
            </w:r>
          </w:p>
        </w:tc>
        <w:tc>
          <w:tcPr>
            <w:tcW w:w="1560" w:type="dxa"/>
            <w:tcBorders>
              <w:top w:val="nil"/>
              <w:left w:val="single" w:sz="8" w:space="0" w:color="auto"/>
              <w:bottom w:val="single" w:sz="4" w:space="0" w:color="auto"/>
              <w:right w:val="single" w:sz="4" w:space="0" w:color="auto"/>
            </w:tcBorders>
            <w:noWrap/>
            <w:vAlign w:val="bottom"/>
            <w:hideMark/>
          </w:tcPr>
          <w:p w14:paraId="356C1575"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5372EC" w14:paraId="4F0EEA60" w14:textId="77777777" w:rsidTr="005A1E56">
        <w:trPr>
          <w:trHeight w:val="288"/>
        </w:trPr>
        <w:tc>
          <w:tcPr>
            <w:tcW w:w="983" w:type="dxa"/>
            <w:tcBorders>
              <w:top w:val="nil"/>
              <w:left w:val="single" w:sz="8" w:space="0" w:color="auto"/>
              <w:bottom w:val="single" w:sz="4" w:space="0" w:color="auto"/>
              <w:right w:val="single" w:sz="4" w:space="0" w:color="auto"/>
            </w:tcBorders>
          </w:tcPr>
          <w:p w14:paraId="5C446439"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{"citationItems":[{"id":"ITEM-1","itemData":{"DOI":"10.1097/ACM.0b013e31822bd7aa","ISSN":"10402446","PMID":"21869667","abstract":"PURPOSE: Poor stress management skills can compromise performance in the operating room, particularly in inexperienced trainees. Little is known about individual differences in managing stress. This study aimed to explore the relationship between trait emotional intelligence (EI) and objective and subjective measures of stress in medical students faced with unfamiliar surgical tasks. METHOD: Seventeen medical undergraduates completed an unfamiliar laparoscopic task on a simulator during January to April 2008. Subjective stress before, during (retrospectively), and after the task was measured using the self-report State-Trait Anxiety Inventory. Objective stress was measured using continuous heart rate (HR) monitoring. Participants also completed the Trait Emotional Intelligence Questionnaire short form (TEIQue-SF). The authors computed scores for global trait EI and the TEIQue-SF four factors and carried out descriptive and correlational analyses. RESULTS: The highest levels of subjective stress were reported during the task and correlated positively with trait EI as well as with the trait EI factors of well-being and emotionality. Objective stress (mean HR) during the task was positively related to the sociability factor of trait EI. Higher trait EI scores were also associated with better after-task recovery from stress experienced during the task. CONCLUSIONS: Students with higher trait EI are more likely to experience stress during unfamiliar surgical scenarios but are also more likely to recover better compared with their lower-trait-EI peers. Trait EI has implications for the design of effective stress management training tailored to individual needs and potential applications to surgical trainee selection and development. © by Assciation American Medical Colleges.","author":[{"dropping-particle":"","family":"Arora","given":"Sonal","non-dropping-particle":"","parse-names":false,"suffix":""},{"dropping-particle":"","family":"Russ","given":"Stephanie","non-dropping-particle":"","parse-names":false,"suffix":""},{"dropping-particle":"V.","family":"Petrides","given":"K.","non-dropping-particle":"","parse-names":false,"suffix":""},{"dropping-particle":"","family":"Sirimanna","given":"Pramudith","non-dropping-particle":"","parse-names":false,"suffix":""},{"dropping-particle":"","family":"Aggarwal","given":"Rajesh","non-dropping-particle":"","parse-names":false,"suffix":""},{"dropping-particle":"","family":"Darzi","given":"Ara","non-dropping-particle":"","parse-names":false,"suffix":""},{"dropping-particle":"","family":"Sevdalis","given":"Nick","non-dropping-particle":"","parse-names":false,"suffix":""}],"container-title":"Academic Medicine","id":"ITEM-1","issue":"10","issued":{"date-parts":[["2011"]]},"page":"1311-1317","title":"Emotional intelligence and stress in medical students performing surgical tasks","type":"article-journal","volume":"86"},"uris":["http://www.mendeley.com/documents/?uuid=bc3403c1-a4d3-4a4a-9b7c-137e216037a8"]}],"mendeley":{"formattedCitation":"(83)","plainTextFormattedCitation":"(83)","previouslyFormattedCitation":"(83)"},"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(83)</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46C5BFD0"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Arora et al., 2011</w:t>
            </w:r>
          </w:p>
        </w:tc>
        <w:tc>
          <w:tcPr>
            <w:tcW w:w="1931" w:type="dxa"/>
            <w:tcBorders>
              <w:top w:val="nil"/>
              <w:left w:val="single" w:sz="8" w:space="0" w:color="auto"/>
              <w:bottom w:val="single" w:sz="4" w:space="0" w:color="auto"/>
              <w:right w:val="single" w:sz="4" w:space="0" w:color="auto"/>
            </w:tcBorders>
            <w:noWrap/>
            <w:vAlign w:val="bottom"/>
            <w:hideMark/>
          </w:tcPr>
          <w:p w14:paraId="2B5C77FD"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269" w:type="dxa"/>
            <w:tcBorders>
              <w:top w:val="nil"/>
              <w:left w:val="single" w:sz="8" w:space="0" w:color="auto"/>
              <w:bottom w:val="single" w:sz="4" w:space="0" w:color="auto"/>
              <w:right w:val="single" w:sz="4" w:space="0" w:color="auto"/>
            </w:tcBorders>
            <w:noWrap/>
            <w:vAlign w:val="bottom"/>
            <w:hideMark/>
          </w:tcPr>
          <w:p w14:paraId="1573EE31"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1B859A01"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42" w:type="dxa"/>
            <w:tcBorders>
              <w:top w:val="nil"/>
              <w:left w:val="single" w:sz="8" w:space="0" w:color="auto"/>
              <w:bottom w:val="single" w:sz="4" w:space="0" w:color="auto"/>
              <w:right w:val="single" w:sz="4" w:space="0" w:color="auto"/>
            </w:tcBorders>
            <w:noWrap/>
            <w:vAlign w:val="bottom"/>
            <w:hideMark/>
          </w:tcPr>
          <w:p w14:paraId="6F71E7C9"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701" w:type="dxa"/>
            <w:tcBorders>
              <w:top w:val="nil"/>
              <w:left w:val="single" w:sz="8" w:space="0" w:color="auto"/>
              <w:bottom w:val="single" w:sz="4" w:space="0" w:color="auto"/>
              <w:right w:val="single" w:sz="4" w:space="0" w:color="auto"/>
            </w:tcBorders>
            <w:noWrap/>
            <w:vAlign w:val="bottom"/>
            <w:hideMark/>
          </w:tcPr>
          <w:p w14:paraId="7FD5F889"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N/A</w:t>
            </w:r>
          </w:p>
        </w:tc>
        <w:tc>
          <w:tcPr>
            <w:tcW w:w="1560" w:type="dxa"/>
            <w:tcBorders>
              <w:top w:val="nil"/>
              <w:left w:val="single" w:sz="8" w:space="0" w:color="auto"/>
              <w:bottom w:val="single" w:sz="4" w:space="0" w:color="auto"/>
              <w:right w:val="single" w:sz="4" w:space="0" w:color="auto"/>
            </w:tcBorders>
            <w:noWrap/>
            <w:vAlign w:val="bottom"/>
            <w:hideMark/>
          </w:tcPr>
          <w:p w14:paraId="4EAC9CF9"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5372EC" w14:paraId="7BF82731" w14:textId="77777777" w:rsidTr="005A1E56">
        <w:trPr>
          <w:trHeight w:val="288"/>
        </w:trPr>
        <w:tc>
          <w:tcPr>
            <w:tcW w:w="983" w:type="dxa"/>
            <w:tcBorders>
              <w:top w:val="nil"/>
              <w:left w:val="single" w:sz="8" w:space="0" w:color="auto"/>
              <w:bottom w:val="single" w:sz="4" w:space="0" w:color="auto"/>
              <w:right w:val="single" w:sz="4" w:space="0" w:color="auto"/>
            </w:tcBorders>
          </w:tcPr>
          <w:p w14:paraId="0A4250A0"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{"citationItems":[{"id":"ITEM-1","itemData":{"ISSN":"19112092","PMID":"22567069","abstract":"Background: Physicians often experience work-related stress that may lead to personal harm and impaired professional performance. Biofeedback has been used to manage stress in various populations. Objective: To determine whether a biofeedback-based stress management tool, consisting of rhythmic breathing, actively self-generated positive emotions and a portable biofeedback device, reduces physician stress. Design: Randomized controlled trial measuring efficacy of a stress-reduction intervention over 28 days, with a 28-day open-label trial extension to assess effectiveness. Setting: Urban tertiary care hospital. Participants: Forty staff physicians (23 men and 17 women) from various medical practices (1 from primary care, 30 from a medical specialty and 9 from a surgical specialty) were recruited by means of electronic mail, regular mail and posters placed in the physicians' lounge and throughout the hospital. Intervention: Physicians in the intervention group were instructed to use a biofeedback-based stress management tool three times daily. Participants in both the control and intervention groups received twice-weekly support visits from the research team over 28 days, with the intervention group also receiving re-inforcement in the use of the stress management tool during these support visits. During the 28-day extension period, both the control and the intervention groups received the intervention, but without intensive support from the research team. Main outcome measure: Stress was measured with a scale developed to capture short-term changes in global perceptions of stress for physicians (maximum score 200). Results: During the randomized controlled trial (days 0 to 28), the mean stress score declined significantly for the intervention group (change -14.7, standard deviation [SD] 23.8; p = 0.013) but not for the control group (change -2.2, SD 8.4; p = 0.30). The difference in mean score change between the groups was 12.5 (p = 0.048). The lower mean stress scores in the intervention group were maintained during the trial extension to day 56. The mean stress score for the control group changed significantly during the 28-day extension period (change -8.5, SD 7.6; p &lt; 0.001). Conclusion: A biofeedback-based stress management tool may be a simple and effective stress-reduction strategy for physicians.","author":[{"dropping-particle":"","family":"Lemaire","given":"Jane B.","non-dropping-particle":"","parse-names":false,"suffix":""},{"dropping-particle":"","family":"Wallace","given":"Jean E.","non-dropping-particle":"","parse-names":false,"suffix":""},{"dropping-particle":"","family":"Lewin","given":"Adriane M.","non-dropping-particle":"","parse-names":false,"suffix":""},{"dropping-particle":"","family":"Grood","given":"Jill","non-dropping-particle":"de","parse-names":false,"suffix":""},{"dropping-particle":"","family":"Schaefer","given":"Jeffrey P.","non-dropping-particle":"","parse-names":false,"suffix":""}],"container-title":"Open Medicine","id":"ITEM-1","issue":"4","issued":{"date-parts":[["2011"]]},"page":"e156-63","title":"The effect of a biofeedback-based stress management tool on physician stress: A randomized controlled clinical trial","type":"article-journal","volume":"5"},"uris":["http://www.mendeley.com/documents/?uuid=22412510-8875-480c-8891-013803d73c8b"]}],"mendeley":{"formattedCitation":"(84)","plainTextFormattedCitation":"(84)","previouslyFormattedCitation":"(84)"},"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(84)</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2D1BC53F"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Lemaire et al., 2011</w:t>
            </w:r>
          </w:p>
        </w:tc>
        <w:tc>
          <w:tcPr>
            <w:tcW w:w="1931" w:type="dxa"/>
            <w:tcBorders>
              <w:top w:val="nil"/>
              <w:left w:val="single" w:sz="8" w:space="0" w:color="auto"/>
              <w:bottom w:val="single" w:sz="4" w:space="0" w:color="auto"/>
              <w:right w:val="single" w:sz="4" w:space="0" w:color="auto"/>
            </w:tcBorders>
            <w:noWrap/>
            <w:vAlign w:val="bottom"/>
            <w:hideMark/>
          </w:tcPr>
          <w:p w14:paraId="1D6AC16E"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269" w:type="dxa"/>
            <w:tcBorders>
              <w:top w:val="nil"/>
              <w:left w:val="single" w:sz="8" w:space="0" w:color="auto"/>
              <w:bottom w:val="single" w:sz="4" w:space="0" w:color="auto"/>
              <w:right w:val="single" w:sz="4" w:space="0" w:color="auto"/>
            </w:tcBorders>
            <w:noWrap/>
            <w:vAlign w:val="bottom"/>
            <w:hideMark/>
          </w:tcPr>
          <w:p w14:paraId="238B4DA3"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322E344B"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High</w:t>
            </w:r>
          </w:p>
        </w:tc>
        <w:tc>
          <w:tcPr>
            <w:tcW w:w="1842" w:type="dxa"/>
            <w:tcBorders>
              <w:top w:val="nil"/>
              <w:left w:val="single" w:sz="8" w:space="0" w:color="auto"/>
              <w:bottom w:val="single" w:sz="4" w:space="0" w:color="auto"/>
              <w:right w:val="single" w:sz="4" w:space="0" w:color="auto"/>
            </w:tcBorders>
            <w:noWrap/>
            <w:vAlign w:val="bottom"/>
            <w:hideMark/>
          </w:tcPr>
          <w:p w14:paraId="3198DF10"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High</w:t>
            </w:r>
          </w:p>
        </w:tc>
        <w:tc>
          <w:tcPr>
            <w:tcW w:w="1701" w:type="dxa"/>
            <w:tcBorders>
              <w:top w:val="nil"/>
              <w:left w:val="single" w:sz="8" w:space="0" w:color="auto"/>
              <w:bottom w:val="single" w:sz="4" w:space="0" w:color="auto"/>
              <w:right w:val="single" w:sz="4" w:space="0" w:color="auto"/>
            </w:tcBorders>
            <w:noWrap/>
            <w:vAlign w:val="bottom"/>
            <w:hideMark/>
          </w:tcPr>
          <w:p w14:paraId="50B23D08"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60DC3C0A"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Some concerns</w:t>
            </w:r>
          </w:p>
        </w:tc>
      </w:tr>
      <w:tr w:rsidR="00D724F8" w:rsidRPr="005372EC" w14:paraId="38636130" w14:textId="77777777" w:rsidTr="005A1E56">
        <w:trPr>
          <w:trHeight w:val="288"/>
        </w:trPr>
        <w:tc>
          <w:tcPr>
            <w:tcW w:w="983" w:type="dxa"/>
            <w:tcBorders>
              <w:top w:val="nil"/>
              <w:left w:val="single" w:sz="8" w:space="0" w:color="auto"/>
              <w:bottom w:val="single" w:sz="4" w:space="0" w:color="auto"/>
              <w:right w:val="single" w:sz="4" w:space="0" w:color="auto"/>
            </w:tcBorders>
          </w:tcPr>
          <w:p w14:paraId="7A0481A7"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{"citationItems":[{"id":"ITEM-1","itemData":{"DOI":"10.1097/SLA.0b013e318209a594","ISSN":"00034932","abstract":"Background: Stress and coping influence performance. In this study, we evaluate a novel stress management intervention for surgeons. Methods: A randomized control group design was used. Sixteen surgeons were allocated to either the intervention or control group. The intervention group received training on coping strategies, mental rehearsal, and relaxation. Performance measures were obtained during simulated operations and included objective-structured assessment of technical skill, observational teamwork assessment for surgery, and end product assessment rated by experts. Stress was assessed using the state-trait-anxiety-inventory, observer rating, coefficient of heart rate variability (C-HRV), and salivary cortisol. The number of applied surgical coping strategies (number of coping strategies [NC]) was assessed using a questionnaire. A t test for paired samples investigated any within-subject changes, and multiple linear regression analysis explored between-subject effects. Interviews explored surgeons perceptions of the intervention. Results:: The intervention group showed enhanced observational teamwork assessment for surgery performance (t = -2.767, P &lt; 0.05), and increased coping skills (t = -4.690, P &lt; 0.01), and reduced stress reflected inheart rate variability (t = -4.008, P &lt; 0.01). No significant changes were identified in the control group. Linear regression analysis confirmed a significant effect on NC (β = -0.739, P &lt; 0.01). Qualitative data analysis revealed improved technical skills, decision making, and confidence. Conclusions: The intervention had beneficial effects on coping, stress, and nontechnical skills during simulated surgery. Copyright © 2011 by Lippincott Williams &amp; Wilkins.","author":[{"dropping-particle":"","family":"Wetzel","given":"Cordula M.","non-dropping-particle":"","parse-names":false,"suffix":""},{"dropping-particle":"","family":"George","given":"Akram","non-dropping-particle":"","parse-names":false,"suffix":""},{"dropping-particle":"","family":"Hanna","given":"George B.","non-dropping-particle":"","parse-names":false,"suffix":""},{"dropping-particle":"","family":"Athanasiou","given":"Thanos","non-dropping-particle":"","parse-names":false,"suffix":""},{"dropping-particle":"","family":"Black","given":"Stephen A.","non-dropping-particle":"","parse-names":false,"suffix":""},{"dropping-particle":"","family":"Kneebone","given":"Roger L.","non-dropping-particle":"","parse-names":false,"suffix":""},{"dropping-particle":"","family":"Nestel","given":"Debra","non-dropping-particle":"","parse-names":false,"suffix":""},{"dropping-particle":"","family":"Woloshynowych","given":"Maria","non-dropping-particle":"","parse-names":false,"suffix":""}],"container-title":"Annals of Surgery","id":"ITEM-1","issue":"3","issued":{"date-parts":[["2011"]]},"page":"488-494","title":"Stress management training for surgeons-a randomized, controlled, intervention study","type":"article-journal","volume":"253"},"uris":["http://www.mendeley.com/documents/?uuid=2e0fd2ad-143a-46ac-beec-56cee20b5f69"]}],"mendeley":{"formattedCitation":"(19)","plainTextFormattedCitation":"(19)","previouslyFormattedCitation":"(19)"},"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(19)</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19EED171"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Wetzel et al., 2011</w:t>
            </w:r>
          </w:p>
        </w:tc>
        <w:tc>
          <w:tcPr>
            <w:tcW w:w="1931" w:type="dxa"/>
            <w:tcBorders>
              <w:top w:val="nil"/>
              <w:left w:val="single" w:sz="8" w:space="0" w:color="auto"/>
              <w:bottom w:val="single" w:sz="4" w:space="0" w:color="auto"/>
              <w:right w:val="single" w:sz="4" w:space="0" w:color="auto"/>
            </w:tcBorders>
            <w:noWrap/>
            <w:vAlign w:val="bottom"/>
            <w:hideMark/>
          </w:tcPr>
          <w:p w14:paraId="79E59392"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269" w:type="dxa"/>
            <w:tcBorders>
              <w:top w:val="nil"/>
              <w:left w:val="single" w:sz="8" w:space="0" w:color="auto"/>
              <w:bottom w:val="single" w:sz="4" w:space="0" w:color="auto"/>
              <w:right w:val="single" w:sz="4" w:space="0" w:color="auto"/>
            </w:tcBorders>
            <w:noWrap/>
            <w:vAlign w:val="bottom"/>
            <w:hideMark/>
          </w:tcPr>
          <w:p w14:paraId="775B38BA"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019C3EF8"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62286C42"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43CE1AB6"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54E38B49"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5372EC" w14:paraId="6DF04B97" w14:textId="77777777" w:rsidTr="005A1E56">
        <w:trPr>
          <w:trHeight w:val="288"/>
        </w:trPr>
        <w:tc>
          <w:tcPr>
            <w:tcW w:w="983" w:type="dxa"/>
            <w:tcBorders>
              <w:top w:val="nil"/>
              <w:left w:val="single" w:sz="8" w:space="0" w:color="auto"/>
              <w:bottom w:val="single" w:sz="4" w:space="0" w:color="auto"/>
              <w:right w:val="single" w:sz="4" w:space="0" w:color="auto"/>
            </w:tcBorders>
          </w:tcPr>
          <w:p w14:paraId="579436F8"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{"citationItems":[{"id":"ITEM-1","itemData":{"DOI":"10.1089/end.2011.0641","ISSN":"08927790","PMID":"22429084","abstract":"Background and Purpose: High levels of mental workload and stress are experienced by surgeons in the laparoscopic environment. The da Vinci® surgical robot was developed to provide surgeons a more user-friendly interface while maintaining the patient benefits associated with laparoscopy. This study examined whether the da Vinci robot reduces mental workload and stress in novice medical students. A detailed understanding of trainees' mental workload and mental stress experiences can aid in the development of training programs that are aimed at facilitating the acquisition of laparoscopic and robotic surgery skills. Materials and Methods: Fifteen novice first-year medical students performed a standard peg-transfer task at a laparoscopic simulator and the da Vinci Surgical System. Mental workload and stress were assessed with the Multiple Resources Questionnaire (MRQ) and the Dundee Stress State Questionnaire (DSSQ), respectively. Results: Students' mental workload profiles were identical with the two surgical systems and replicated previous MRQ results reported with the laparoscopic system showing high levels of workload. Students experienced a better stress profile with the robotic system, however, when compared wih the laparoscopic system. Conclusion: Our study shows that novice medical students perceive less stress when working with the robotic surgical interface than with the laparoscopic surgery interface. The MRQ and the DSSQ are valuable tools for identifying mental workload and mental stress in the laparoscopic and robotic surgery environments. This information may be useful for facilitating the acquisition of laparoscopic and robotic surgery skills. © Copyright 2012, Mary Ann Liebert, Inc.","author":[{"dropping-particle":"","family":"Klein","given":"Martina I.","non-dropping-particle":"","parse-names":false,"suffix":""},{"dropping-particle":"","family":"Warm","given":"Joel S.","non-dropping-particle":"","parse-names":false,"suffix":""},{"dropping-particle":"","family":"Riley","given":"Michael A.","non-dropping-particle":"","parse-names":false,"suffix":""},{"dropping-particle":"","family":"Matthews","given":"Gerald","non-dropping-particle":"","parse-names":false,"suffix":""},{"dropping-particle":"","family":"Doarn","given":"Charles","non-dropping-particle":"","parse-names":false,"suffix":""},{"dropping-particle":"","family":"Donovan","given":"James F.","non-dropping-particle":"","parse-names":false,"suffix":""},{"dropping-particle":"","family":"Gaitonde","given":"Krishnanath","non-dropping-particle":"","parse-names":false,"suffix":""}],"container-title":"Journal of Endourology","id":"ITEM-1","issue":"8","issued":{"date-parts":[["2012"]]},"page":"1089-1094","title":"Mental workload and stress perceived by novice operators in the laparoscopic and robotic minimally invasive surgical interfaces","type":"article-journal","volume":"26"},"uris":["http://www.mendeley.com/documents/?uuid=9744009e-452a-4a35-8407-bdf041686f4e"]}],"mendeley":{"formattedCitation":"(112)","plainTextFormattedCitation":"(112)","previouslyFormattedCitation":"(112)"},"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(112)</w:t>
            </w:r>
            <w:r w:rsidRPr="70FF01BB">
              <w:rPr>
                <w:rFonts w:ascii="Arial" w:hAnsi="Arial" w:cs="Arial"/>
                <w:sz w:val="16"/>
                <w:szCs w:val="16"/>
              </w:rPr>
              <w:fldChar w:fldCharType="end"/>
            </w:r>
          </w:p>
        </w:tc>
        <w:tc>
          <w:tcPr>
            <w:tcW w:w="1868" w:type="dxa"/>
            <w:tcBorders>
              <w:top w:val="single" w:sz="4" w:space="0" w:color="auto"/>
              <w:left w:val="single" w:sz="8" w:space="0" w:color="auto"/>
              <w:bottom w:val="single" w:sz="4" w:space="0" w:color="auto"/>
              <w:right w:val="single" w:sz="4" w:space="0" w:color="auto"/>
            </w:tcBorders>
            <w:noWrap/>
            <w:vAlign w:val="bottom"/>
            <w:hideMark/>
          </w:tcPr>
          <w:p w14:paraId="6C0D9B56"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Klein et al., 2012</w:t>
            </w:r>
          </w:p>
        </w:tc>
        <w:tc>
          <w:tcPr>
            <w:tcW w:w="1931" w:type="dxa"/>
            <w:tcBorders>
              <w:top w:val="nil"/>
              <w:left w:val="single" w:sz="8" w:space="0" w:color="auto"/>
              <w:bottom w:val="single" w:sz="4" w:space="0" w:color="auto"/>
              <w:right w:val="single" w:sz="4" w:space="0" w:color="auto"/>
            </w:tcBorders>
            <w:noWrap/>
            <w:vAlign w:val="bottom"/>
            <w:hideMark/>
          </w:tcPr>
          <w:p w14:paraId="610D2AE0"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5132BE4C"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22BB4B2B"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063F7722"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4BCA03E8"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2004A9BC"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5372EC" w14:paraId="2E78D58B" w14:textId="77777777" w:rsidTr="005A1E56">
        <w:trPr>
          <w:trHeight w:val="288"/>
        </w:trPr>
        <w:tc>
          <w:tcPr>
            <w:tcW w:w="983" w:type="dxa"/>
            <w:tcBorders>
              <w:top w:val="nil"/>
              <w:left w:val="single" w:sz="8" w:space="0" w:color="auto"/>
              <w:bottom w:val="single" w:sz="4" w:space="0" w:color="auto"/>
              <w:right w:val="single" w:sz="4" w:space="0" w:color="auto"/>
            </w:tcBorders>
          </w:tcPr>
          <w:p w14:paraId="3690C5D5"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{"citationItems":[{"id":"ITEM-1","itemData":{"DOI":"10.1007/s00464-012-2268-6","ISSN":"14322218","PMID":"22527300","abstract":"Background: Blinks are known as an indicator of visual attention and mental stress. In this study, surgeons' mental workload was evaluated utilizing a paper assessment instrument (National Aeronautics and Space Administration Task Load Index, NASA TLX) and by examining their eye blinks. Correlation between these two assessments was reported. Methods: Surgeons' eye motions were video-recorded using a head-mounted eye-tracker while the surgeons performed a laparoscopic procedure on a virtual reality trainer. Blink frequency and duration were computed using computer vision technology. The level of workload experienced during the procedure was reported by surgeons using the NASA TLX. Results: A total of 42 valid videos were recorded from 23 surgeons. After blinks were computed, videos were divided into two groups based on the blink frequency: infrequent group (≤6 blinks/min) and frequent group (more than 6 blinks/min). Surgical performance (measured by task time and trajectories of tool tips) was not significantly different between these two groups, but NASA TLX scores were significantly different. Surgeons who blinked infrequently reported a higher level of frustration (46 vs. 34, P = 0.047) and higher overall level of workload (57 vs. 47, P = 0.045) than those who blinked more frequently. The correlation coefficients (Pearson test) between NASA TLX and the blink frequency and duration were -0.17 and 0.446. Conclusion: Reduction of blink frequency and shorter blink duration matched the increasing level of mental workload reported by surgeons. The value of using eyetracking technology for assessment of surgeon mental workload was shown. © Springer Science+Business Media, LLC 2012.","author":[{"dropping-particle":"","family":"Zheng","given":"Bin","non-dropping-particle":"","parse-names":false,"suffix":""},{"dropping-particle":"","family":"Jiang","given":"Xianta","non-dropping-particle":"","parse-names":false,"suffix":""},{"dropping-particle":"","family":"Tien","given":"Geoffrey","non-dropping-particle":"","parse-names":false,"suffix":""},{"dropping-particle":"","family":"Meneghetti","given":"Adam","non-dropping-particle":"","parse-names":false,"suffix":""},{"dropping-particle":"","family":"Panton","given":"O. Neely M.","non-dropping-particle":"","parse-names":false,"suffix":""},{"dropping-particle":"","family":"Atkins","given":"M. Stella","non-dropping-particle":"","parse-names":false,"suffix":""}],"container-title":"Surgical Endoscopy","id":"ITEM-1","issue":"10","issued":{"date-parts":[["2012"]]},"page":"2746-2750","title":"Workload assessment of surgeons: Correlation between NASA TLX and blinks","type":"article-journal","volume":"26"},"uris":["http://www.mendeley.com/documents/?uuid=e0b2cadf-e2f0-4f9e-a553-805cb2c065e9"]}],"mendeley":{"formattedCitation":"(99)","plainTextFormattedCitation":"(99)","previouslyFormattedCitation":"(99)"},"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(99)</w:t>
            </w:r>
            <w:r w:rsidRPr="70FF01BB">
              <w:rPr>
                <w:rFonts w:ascii="Arial" w:hAnsi="Arial" w:cs="Arial"/>
                <w:sz w:val="16"/>
                <w:szCs w:val="16"/>
              </w:rPr>
              <w:fldChar w:fldCharType="end"/>
            </w:r>
          </w:p>
        </w:tc>
        <w:tc>
          <w:tcPr>
            <w:tcW w:w="1868" w:type="dxa"/>
            <w:tcBorders>
              <w:top w:val="single" w:sz="4" w:space="0" w:color="auto"/>
              <w:left w:val="single" w:sz="8" w:space="0" w:color="auto"/>
              <w:bottom w:val="single" w:sz="4" w:space="0" w:color="auto"/>
              <w:right w:val="single" w:sz="4" w:space="0" w:color="auto"/>
            </w:tcBorders>
            <w:noWrap/>
            <w:vAlign w:val="bottom"/>
            <w:hideMark/>
          </w:tcPr>
          <w:p w14:paraId="6B025E75"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Zheng et al., 2012</w:t>
            </w:r>
          </w:p>
        </w:tc>
        <w:tc>
          <w:tcPr>
            <w:tcW w:w="1931" w:type="dxa"/>
            <w:tcBorders>
              <w:top w:val="nil"/>
              <w:left w:val="single" w:sz="8" w:space="0" w:color="auto"/>
              <w:bottom w:val="single" w:sz="4" w:space="0" w:color="auto"/>
              <w:right w:val="single" w:sz="4" w:space="0" w:color="auto"/>
            </w:tcBorders>
            <w:noWrap/>
            <w:vAlign w:val="bottom"/>
            <w:hideMark/>
          </w:tcPr>
          <w:p w14:paraId="54EEA5CA"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625B16D0"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5B8720FF"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6A09C501"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13D7A68F"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531D84B4"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1B782B" w14:paraId="75293349" w14:textId="77777777" w:rsidTr="005A1E56">
        <w:trPr>
          <w:trHeight w:val="288"/>
        </w:trPr>
        <w:tc>
          <w:tcPr>
            <w:tcW w:w="983" w:type="dxa"/>
            <w:tcBorders>
              <w:top w:val="nil"/>
              <w:left w:val="single" w:sz="8" w:space="0" w:color="auto"/>
              <w:bottom w:val="single" w:sz="4" w:space="0" w:color="auto"/>
              <w:right w:val="single" w:sz="4" w:space="0" w:color="auto"/>
            </w:tcBorders>
          </w:tcPr>
          <w:p w14:paraId="6CA4FB67"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{"citationItems":[{"id":"ITEM-1","itemData":{"DOI":"10.1038/srep00305","ISSN":"20452322","PMID":"22396852","abstract":"In the present study we quantify stress by measuring transient perspiratory responses on the perinasal area through thermal imaging. These responses prove to be sympathetically driven and hence, a likely indicator of stress processes in the brain. Armed with the unobtrusive measurement methodology we developed, we were able to monitor stress responses in the context of surgical training, the quintessence of human dexterity. We show that in dexterous tasking under critical conditions, novices attempt to perform a task's step equally fast with experienced individuals. We further show that while fast behavior in experienced individuals is afforded by skill, fast behavior in novices is likely instigated by high stress levels, at the expense of accuracy. Humans avoid adjusting speed to skill and rather grow their skill to a predetermined speed level, likely defined by neurophysiological latency.","author":[{"dropping-particle":"","family":"Pavlidis","given":"I.","non-dropping-particle":"","parse-names":false,"suffix":""},{"dropping-particle":"","family":"Tsiamyrtzis","given":"P.","non-dropping-particle":"","parse-names":false,"suffix":""},{"dropping-particle":"","family":"Shastri","given":"D.","non-dropping-particle":"","parse-names":false,"suffix":""},{"dropping-particle":"","family":"Wesley","given":"A.","non-dropping-particle":"","parse-names":false,"suffix":""},{"dropping-particle":"","family":"Zhou","given":"Y.","non-dropping-particle":"","parse-names":false,"suffix":""},{"dropping-particle":"","family":"Lindner","given":"P.","non-dropping-particle":"","parse-names":false,"suffix":""},{"dropping-particle":"","family":"Buddharaju","given":"P.","non-dropping-particle":"","parse-names":false,"suffix":""},{"dropping-particle":"","family":"Joseph","given":"R.","non-dropping-particle":"","parse-names":false,"suffix":""},{"dropping-particle":"","family":"Mandapati","given":"A.","non-dropping-particle":"","parse-names":false,"suffix":""},{"dropping-particle":"","family":"Dunkin","given":"B.","non-dropping-particle":"","parse-names":false,"suffix":""},{"dropping-particle":"","family":"Bass","given":"B.","non-dropping-particle":"","parse-names":false,"suffix":""}],"container-title":"Scientific Reports","id":"ITEM-1","issued":{"date-parts":[["2012"]]},"page":"305","title":"Fast by nature-How stress patterns define human experience and performance in dexterous tasks","type":"article-journal","volume":"2"},"uris":["http://www.mendeley.com/documents/?uuid=b4fe6908-4a0a-4d70-997c-0857c9a8728d"]}],"mendeley":{"formattedCitation":"(95)","plainTextFormattedCitation":"(95)","previouslyFormattedCitation":"(95)"},"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(95)</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104D8A51" w14:textId="77777777" w:rsidR="00D724F8" w:rsidRPr="001B782B" w:rsidRDefault="00D724F8" w:rsidP="005A1E56">
            <w:pPr>
              <w:spacing w:after="0" w:line="240" w:lineRule="auto"/>
              <w:rPr>
                <w:rFonts w:ascii="Arial" w:eastAsia="Times New Roman" w:hAnsi="Arial" w:cs="Arial"/>
                <w:color w:val="000000"/>
                <w:sz w:val="16"/>
                <w:szCs w:val="16"/>
                <w:lang w:eastAsia="es-ES"/>
              </w:rPr>
            </w:pPr>
            <w:proofErr w:type="spellStart"/>
            <w:r w:rsidRPr="70FF01BB">
              <w:rPr>
                <w:rFonts w:ascii="Arial" w:eastAsia="Times New Roman" w:hAnsi="Arial" w:cs="Arial"/>
                <w:color w:val="000000" w:themeColor="text1"/>
                <w:sz w:val="16"/>
                <w:szCs w:val="16"/>
              </w:rPr>
              <w:t>Pavlidis</w:t>
            </w:r>
            <w:proofErr w:type="spellEnd"/>
            <w:r w:rsidRPr="70FF01BB">
              <w:rPr>
                <w:rFonts w:ascii="Arial" w:eastAsia="Times New Roman" w:hAnsi="Arial" w:cs="Arial"/>
                <w:color w:val="000000" w:themeColor="text1"/>
                <w:sz w:val="16"/>
                <w:szCs w:val="16"/>
              </w:rPr>
              <w:t xml:space="preserve"> et al., 2012</w:t>
            </w:r>
          </w:p>
        </w:tc>
        <w:tc>
          <w:tcPr>
            <w:tcW w:w="1931" w:type="dxa"/>
            <w:tcBorders>
              <w:top w:val="nil"/>
              <w:left w:val="single" w:sz="8" w:space="0" w:color="auto"/>
              <w:bottom w:val="single" w:sz="4" w:space="0" w:color="auto"/>
              <w:right w:val="single" w:sz="4" w:space="0" w:color="auto"/>
            </w:tcBorders>
            <w:noWrap/>
            <w:vAlign w:val="bottom"/>
            <w:hideMark/>
          </w:tcPr>
          <w:p w14:paraId="09C00E7C"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27F86259"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7EE1A5C1"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31A0CA83"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0085BE90"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25EC4BEB"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5372EC" w14:paraId="7AA0CFAA" w14:textId="77777777" w:rsidTr="005A1E56">
        <w:trPr>
          <w:trHeight w:val="288"/>
        </w:trPr>
        <w:tc>
          <w:tcPr>
            <w:tcW w:w="983" w:type="dxa"/>
            <w:tcBorders>
              <w:top w:val="nil"/>
              <w:left w:val="single" w:sz="8" w:space="0" w:color="auto"/>
              <w:bottom w:val="single" w:sz="4" w:space="0" w:color="auto"/>
              <w:right w:val="single" w:sz="4" w:space="0" w:color="auto"/>
            </w:tcBorders>
          </w:tcPr>
          <w:p w14:paraId="48A176B6"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{"citationItems":[{"id":"ITEM-1","itemData":{"DOI":"10.1016/j.jsurg.2012.04.002","ISSN":"19317204","PMID":"22677581","abstract":"BACKGROUND: The aim of this study was to determine whether instructing surgical trainees in technically demanding procedures causes alterations in heart rate variability (HRV) and mental strain in supervising surgeons. METHODS: A prospective study of HRV in two consultant surgeons and three endocrine surgical fellows undertaking 50 total thyroidectomy procedures was performed. Fellows and consultant surgeons performed 50 lobectomies as primary operator and 50 as assistants in a cross-over design. HRV was measured during dissection around the recurrent laryngeal nerve. The overall heart rate, time, and frequency domain parameters of HRV, specifically the low frequency/high frequency (LF/HF) ratio, which was used as a measure of cardiac and mental stress, were correlated with the surgical role, particularly teaching surgical fellows at critical points. RESULTS: HRV data were collected between October 2009 and March 2010. There was no statistically significant difference in the mean heart rate for either group of participants regardless of role. Energy expenditure was greater for fellows when operating (p = 0.03). Fellows demonstrated a higher LF/HF ratio when acting as the primary operator (p = 0.02). All time domain parameters of HRV increased when attending surgeons were operating, denoting more cardiac relaxation. Similarly, the LF/HF ratio was significantly greater for attending surgeons when teaching (p = 0.05), suggesting an increase in mental strain. CONCLUSIONS: The teaching of complex but common endocrine surgical procedures is associated with a measurable increase in mental strain of consultant surgeons, as determined by HRV. Fellows demonstrated increased levels of stress when acting as primary operators. © 2012 Association of Program Directors in Surgery. Published by Elsevier Inc. All rights reserved.","author":[{"dropping-particle":"","family":"Prichard","given":"Ruth S.","non-dropping-particle":"","parse-names":false,"suffix":""},{"dropping-particle":"","family":"O'Neill","given":"Christine J.","non-dropping-particle":"","parse-names":false,"suffix":""},{"dropping-particle":"","family":"Oucharek","given":"Jennifer J.","non-dropping-particle":"","parse-names":false,"suffix":""},{"dropping-particle":"","family":"Colinda","given":"Y. Holmes","non-dropping-particle":"","parse-names":false,"suffix":""},{"dropping-particle":"","family":"Delbridge","given":"Leigh W.","non-dropping-particle":"","parse-names":false,"suffix":""},{"dropping-particle":"","family":"Sywak","given":"Mark S.","non-dropping-particle":"","parse-names":false,"suffix":""}],"container-title":"Journal of Surgical Education","id":"ITEM-1","issue":"4","issued":{"date-parts":[["2012"]]},"page":"453-458","title":"A prospective study of heart rate variability in endocrine surgery: Surgical training increases consultant's mental strain","type":"article-journal","volume":"69"},"uris":["http://www.mendeley.com/documents/?uuid=ce59c1b2-a5fd-4a25-b9b9-835e14b05fe2"]}],"mendeley":{"formattedCitation":"(85)","plainTextFormattedCitation":"(85)","previouslyFormattedCitation":"(85)"},"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(85)</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7553F7A9"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Prichard et al., 2012</w:t>
            </w:r>
          </w:p>
        </w:tc>
        <w:tc>
          <w:tcPr>
            <w:tcW w:w="1931" w:type="dxa"/>
            <w:tcBorders>
              <w:top w:val="nil"/>
              <w:left w:val="single" w:sz="8" w:space="0" w:color="auto"/>
              <w:bottom w:val="single" w:sz="4" w:space="0" w:color="auto"/>
              <w:right w:val="single" w:sz="4" w:space="0" w:color="auto"/>
            </w:tcBorders>
            <w:noWrap/>
            <w:vAlign w:val="bottom"/>
            <w:hideMark/>
          </w:tcPr>
          <w:p w14:paraId="3150FC8A"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0AF51493"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77230817"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15FA5F82"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701" w:type="dxa"/>
            <w:tcBorders>
              <w:top w:val="nil"/>
              <w:left w:val="single" w:sz="8" w:space="0" w:color="auto"/>
              <w:bottom w:val="single" w:sz="4" w:space="0" w:color="auto"/>
              <w:right w:val="single" w:sz="4" w:space="0" w:color="auto"/>
            </w:tcBorders>
            <w:noWrap/>
            <w:vAlign w:val="bottom"/>
            <w:hideMark/>
          </w:tcPr>
          <w:p w14:paraId="412EA929"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361C66CE"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0609DF" w14:paraId="79EC420A" w14:textId="77777777" w:rsidTr="005A1E56">
        <w:trPr>
          <w:trHeight w:val="288"/>
        </w:trPr>
        <w:tc>
          <w:tcPr>
            <w:tcW w:w="983" w:type="dxa"/>
            <w:tcBorders>
              <w:top w:val="nil"/>
              <w:left w:val="single" w:sz="8" w:space="0" w:color="auto"/>
              <w:bottom w:val="single" w:sz="4" w:space="0" w:color="auto"/>
              <w:right w:val="single" w:sz="4" w:space="0" w:color="auto"/>
            </w:tcBorders>
          </w:tcPr>
          <w:p w14:paraId="064B9D01"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{"citationItems":[{"id":"ITEM-1","itemData":{"DOI":"10.1109/T-AFFC.2012.13","ISSN":"19493045","abstract":"In this paper, we present a novel framework for quantifying physiological stress at a distance via thermal imaging. The method captures stress-induced neurophysiological responses on the perinasal area that manifest as transient perspiration. We have developed two algorithms to extract the perspiratory signals from the thermophysiological imagery. One is based on morphology and is computationally efficient, while the other is based on spatial isotropic wavelets and is flexible; both require the support of a reliable facial tracker. We validated the two algorithms against the clinical standard in a controlled lab experiment where orienting responses were invoked on n=18 subjects via auditory stimuli. Then, we used the validated algorithms to quantify stress of surgeons (n=24) as they were performing suturing drills during inanimate laparoscopic training. This is a field application where the new methodology shines. It allows nonobtrusive monitoring of individuals who are naturally challenged with a task that is localized in space and requires directional attention. Both algorithms associate high stress levels with novice surgeons, while low stress levels are associated with experienced surgeons, raising the possibility for an affective measure (stress) to assist in efficacy determination. It is a clear indication of the methodology's promise and potential. © 2012 IEEE.","author":[{"dropping-particle":"","family":"Shastri","given":"Dvijesh","non-dropping-particle":"","parse-names":false,"suffix":""},{"dropping-particle":"","family":"Papadakis","given":"Manos","non-dropping-particle":"","parse-names":false,"suffix":""},{"dropping-particle":"","family":"Tsiamyrtzis","given":"Panagiotis","non-dropping-particle":"","parse-names":false,"suffix":""},{"dropping-particle":"","family":"Bass","given":"Barbara","non-dropping-particle":"","parse-names":false,"suffix":""},{"dropping-particle":"","family":"Pavlidis","given":"Ioannis","non-dropping-particle":"","parse-names":false,"suffix":""}],"container-title":"IEEE Transactions on Affective Computing","id":"ITEM-1","issue":"3","issued":{"date-parts":[["2012"]]},"page":"366-378","title":"Perinasal imaging of physiological stress and its affective potential","type":"article-journal","volume":"3"},"uris":["http://www.mendeley.com/documents/?uuid=dd86b0b0-c3b3-4f60-86ee-65922af33ff0"]}],"mendeley":{"formattedCitation":"(96)","plainTextFormattedCitation":"(96)","previouslyFormattedCitation":"(96)"},"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(96)</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1DD2E6BD"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Shastri et al., 2012</w:t>
            </w:r>
          </w:p>
        </w:tc>
        <w:tc>
          <w:tcPr>
            <w:tcW w:w="1931" w:type="dxa"/>
            <w:tcBorders>
              <w:top w:val="nil"/>
              <w:left w:val="single" w:sz="8" w:space="0" w:color="auto"/>
              <w:bottom w:val="single" w:sz="4" w:space="0" w:color="auto"/>
              <w:right w:val="single" w:sz="4" w:space="0" w:color="auto"/>
            </w:tcBorders>
            <w:noWrap/>
            <w:vAlign w:val="bottom"/>
            <w:hideMark/>
          </w:tcPr>
          <w:p w14:paraId="3EEA9D0E"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4997E4FF" w14:textId="77777777" w:rsidR="00D724F8" w:rsidRPr="001B782B"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60" w:type="dxa"/>
            <w:tcBorders>
              <w:top w:val="nil"/>
              <w:left w:val="single" w:sz="8" w:space="0" w:color="auto"/>
              <w:bottom w:val="single" w:sz="4" w:space="0" w:color="auto"/>
              <w:right w:val="single" w:sz="4" w:space="0" w:color="auto"/>
            </w:tcBorders>
            <w:noWrap/>
            <w:vAlign w:val="bottom"/>
            <w:hideMark/>
          </w:tcPr>
          <w:p w14:paraId="6338EC57"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19CFC06A"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5215712F"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1BA3E747"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5372EC" w14:paraId="11205313" w14:textId="77777777" w:rsidTr="005A1E56">
        <w:trPr>
          <w:trHeight w:val="288"/>
        </w:trPr>
        <w:tc>
          <w:tcPr>
            <w:tcW w:w="983" w:type="dxa"/>
            <w:tcBorders>
              <w:top w:val="nil"/>
              <w:left w:val="single" w:sz="8" w:space="0" w:color="auto"/>
              <w:bottom w:val="single" w:sz="4" w:space="0" w:color="auto"/>
              <w:right w:val="single" w:sz="4" w:space="0" w:color="auto"/>
            </w:tcBorders>
          </w:tcPr>
          <w:p w14:paraId="77AE8320"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{"citationItems":[{"id":"ITEM-1","itemData":{"DOI":"10.1177/0018720812467458","ISSN":"00187208","PMID":"23829026","abstract":"Objective: We aimed to determine whether visual scanning has a detrimental impact on the monitoring of critical signals and the performance of a concurrent laparoscopic training task after participants engaged in Hockey's strain coping. Strain coping refers to straining cognitive (attentional) resources joined with latent decrements (i.e., stress). Background: DeLucia and Betts (2008) reported that monitoring critical signals degraded performance of a laparoscopic peg-reversal task compared with no monitoring. However, performance did not differ between displays in which critical signals were shown on split screens (less visual scanning) and separated displays (more visual scanning). We hypothesized that effects of scanning may occur after prolonged strain coping. Method: Using a between-subjects design, we had undergraduates perform a laparoscopic training task that induced strain coping. Then they performed a laparoscopic peg-reversal task while monitoring critical signals with a split-screen or separated display. We administered the NASA'Task Load Index (TLX) and Dundee Stress State Questionnaire (DSSQ) to assess strain coping. Results: The TLX and DSSQ profiles indicated that participants engaged in strain coping. Monitoring critical signals resulted in slowed peg-reversal performance compared with no monitoring. Separated displays degraded critical-signal monitoring compared with split-screen displays. Conclusion: After novice observers experience strain coping, visual scanning can impair the detection of critical signals. Application: Results suggest that the design and arrangement of displays in the operating room must incorporate the attentional limitations of the surgeon. Designs that induce visual scanning may impair monitoring of critical information at least in novices. Presenting displays closely in space may be beneficial.Copyright © 2012, Human Factors and Ergonomics Society.","author":[{"dropping-particle":"","family":"Klein","given":"Martina I.","non-dropping-particle":"","parse-names":false,"suffix":""},{"dropping-particle":"","family":"DeLucia","given":"Patricia R.","non-dropping-particle":"","parse-names":false,"suffix":""},{"dropping-particle":"","family":"Olmstead","given":"Ryan","non-dropping-particle":"","parse-names":false,"suffix":""}],"container-title":"Human Factors","id":"ITEM-1","issue":"3","issued":{"date-parts":[["2013"]]},"page":"509-519","title":"The impact of visual scanning in the laparoscopic environment after engaging in strain coping","type":"article-journal","volume":"55"},"uris":["http://www.mendeley.com/documents/?uuid=76a4d9b5-55c5-443c-9002-0bfed78ce3e3"]}],"mendeley":{"formattedCitation":"(108)","plainTextFormattedCitation":"(108)","previouslyFormattedCitation":"(108)"},"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(108)</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7CE94873"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Klein et al., 2013</w:t>
            </w:r>
          </w:p>
        </w:tc>
        <w:tc>
          <w:tcPr>
            <w:tcW w:w="1931" w:type="dxa"/>
            <w:tcBorders>
              <w:top w:val="nil"/>
              <w:left w:val="single" w:sz="8" w:space="0" w:color="auto"/>
              <w:bottom w:val="single" w:sz="4" w:space="0" w:color="auto"/>
              <w:right w:val="single" w:sz="4" w:space="0" w:color="auto"/>
            </w:tcBorders>
            <w:noWrap/>
            <w:vAlign w:val="bottom"/>
            <w:hideMark/>
          </w:tcPr>
          <w:p w14:paraId="1C8D5E4A"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7666EFC2"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6608CC20"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7A8BE221"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636F0B84"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3619A6CA"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5372EC" w14:paraId="7EC1027E" w14:textId="77777777" w:rsidTr="005A1E56">
        <w:trPr>
          <w:trHeight w:val="288"/>
        </w:trPr>
        <w:tc>
          <w:tcPr>
            <w:tcW w:w="983" w:type="dxa"/>
            <w:tcBorders>
              <w:top w:val="nil"/>
              <w:left w:val="single" w:sz="8" w:space="0" w:color="auto"/>
              <w:bottom w:val="single" w:sz="4" w:space="0" w:color="auto"/>
              <w:right w:val="single" w:sz="4" w:space="0" w:color="auto"/>
            </w:tcBorders>
          </w:tcPr>
          <w:p w14:paraId="201FC284"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{"citationItems":[{"id":"ITEM-1","itemData":{"DOI":"10.1016/j.jss.2012.11.011","ISSN":"00224804","PMID":"23228324","abstract":"Background: Performing cardiac surgery is associated with stress for surgeons. We investigated stress levels of experienced surgeons and trainees during coronary artery bypass graft teaching procedures. Methods: We assessed heart rate (HR) and sympathovagal balance (SVB) of experienced surgeons (attendings; n = 7) and residents enrolled in a training program (residents; n = 3) using a one-lead electrocardiogram during a total of 109 elective isolated coronary artery bypass graft procedures. We measured HR and SVB for baseline values at rest and at prespecified phases during the procedure in the role as primary surgeons (n = 10) and assistants (n = 9). Results: All participants were healthy men with a mean age of 41.4 ± 4.3 y. For patients operated on during this study, demographic and intraoperative data were homogeneous. Compared with rest, mean HR and SVB for the whole procedure were higher for surgeons and assistants, with significant differences for HR values (surgeons, 83.7 ± 8.8 beats/min [bpm]; assistants, 85.4 ± 12.7 bpm, P &lt; 0.05 versus 62.3 ± 5.1 bpm). Courses of HR and SVB were comparable for attending and resident groups but values were higher throughout for attendings compared with residents in their role as surgeons during the total procedure, and as assistants during cardiopulmonary bypass. Mean HR and SVB values of attendings assisting the procedure were higher compared with those of residents performing the operation. Conclusions: Surgical experience is not associated with reduced stress levels. Supervising a teaching case in cardiac surgery can be linked with more stress compared with the resident performing the procedure. © 2013 Elsevier Inc. All rights reserved.","author":[{"dropping-particle":"","family":"Kuhn","given":"Elmar W.","non-dropping-particle":"","parse-names":false,"suffix":""},{"dropping-particle":"","family":"Choi","given":"Yeong Hoon","non-dropping-particle":"","parse-names":false,"suffix":""},{"dropping-particle":"","family":"Schönherr","given":"Marc","non-dropping-particle":"","parse-names":false,"suffix":""},{"dropping-particle":"","family":"Liakopoulos","given":"Oliver J.","non-dropping-particle":"","parse-names":false,"suffix":""},{"dropping-particle":"","family":"Rahmanian","given":"Parwis B.","non-dropping-particle":"","parse-names":false,"suffix":""},{"dropping-particle":"","family":"Choi","given":"Claudia Yeong Un","non-dropping-particle":"","parse-names":false,"suffix":""},{"dropping-particle":"","family":"Wittwer","given":"Thorsten","non-dropping-particle":"","parse-names":false,"suffix":""},{"dropping-particle":"","family":"Wahlers","given":"Thorsten","non-dropping-particle":"","parse-names":false,"suffix":""}],"container-title":"Journal of Surgical Research","id":"ITEM-1","issue":"2","issued":{"date-parts":[["2013"]]},"page":"e43-49","title":"Intraoperative stress in cardiac surgery: Attendings versus residents","type":"article-journal","volume":"182"},"uris":["http://www.mendeley.com/documents/?uuid=a4dd4037-0cd3-419c-97c0-4a595008a025"]}],"mendeley":{"formattedCitation":"(86)","plainTextFormattedCitation":"(86)","previouslyFormattedCitation":"(86)"},"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(86)</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7D7607C8"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Kuhn et al., 2013</w:t>
            </w:r>
          </w:p>
        </w:tc>
        <w:tc>
          <w:tcPr>
            <w:tcW w:w="1931" w:type="dxa"/>
            <w:tcBorders>
              <w:top w:val="nil"/>
              <w:left w:val="single" w:sz="8" w:space="0" w:color="auto"/>
              <w:bottom w:val="single" w:sz="4" w:space="0" w:color="auto"/>
              <w:right w:val="single" w:sz="4" w:space="0" w:color="auto"/>
            </w:tcBorders>
            <w:noWrap/>
            <w:vAlign w:val="bottom"/>
            <w:hideMark/>
          </w:tcPr>
          <w:p w14:paraId="34158EF3"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3A19CD87"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0AEE984D"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42" w:type="dxa"/>
            <w:tcBorders>
              <w:top w:val="nil"/>
              <w:left w:val="single" w:sz="8" w:space="0" w:color="auto"/>
              <w:bottom w:val="single" w:sz="4" w:space="0" w:color="auto"/>
              <w:right w:val="single" w:sz="4" w:space="0" w:color="auto"/>
            </w:tcBorders>
            <w:noWrap/>
            <w:vAlign w:val="bottom"/>
            <w:hideMark/>
          </w:tcPr>
          <w:p w14:paraId="7E5576CB"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701" w:type="dxa"/>
            <w:tcBorders>
              <w:top w:val="nil"/>
              <w:left w:val="single" w:sz="8" w:space="0" w:color="auto"/>
              <w:bottom w:val="single" w:sz="4" w:space="0" w:color="auto"/>
              <w:right w:val="single" w:sz="4" w:space="0" w:color="auto"/>
            </w:tcBorders>
            <w:noWrap/>
            <w:vAlign w:val="bottom"/>
            <w:hideMark/>
          </w:tcPr>
          <w:p w14:paraId="2FBB4C1F"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3F641D33"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0609DF" w14:paraId="196889E5" w14:textId="77777777" w:rsidTr="005A1E56">
        <w:trPr>
          <w:trHeight w:val="288"/>
        </w:trPr>
        <w:tc>
          <w:tcPr>
            <w:tcW w:w="983" w:type="dxa"/>
            <w:tcBorders>
              <w:top w:val="nil"/>
              <w:left w:val="single" w:sz="8" w:space="0" w:color="auto"/>
              <w:bottom w:val="single" w:sz="4" w:space="0" w:color="auto"/>
              <w:right w:val="single" w:sz="4" w:space="0" w:color="auto"/>
            </w:tcBorders>
          </w:tcPr>
          <w:p w14:paraId="4D899B3A"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{"citationItems":[{"id":"ITEM-1","itemData":{"DOI":"10.1016/j.amjsurg.2012.10.007","ISSN":"00029610","PMID":"23331982","abstract":"Background: Much effort in surgical education is placed on the development of clinical judgment and technical proficiency. However, little focus is placed on the management of stress associated with surgical performance. The inability to manage stress may lead to poor patient care, attrition from residency, and surgeon burnout. Methods: A blinded, matched, comparison group study to evaluate the efficacy of an educational program designed to improve surgical resident performance during stressful scenarios was conducted. The experimental group (n = 11) participated in stress training sessions, whereas the control group (n = 15) did not. Both groups then completed a simulation during which stress was evaluated using objective and subjective measures, and resident performance was graded using a standardized checklist. Results: Performance checklist scores were 5% higher in the experimental group than the control group (P =.54). No change existed in anxiety state according to the State Trait Anxiety Inventory (P = .34) or in heart rate under stress (P =.17) between groups. Conclusions: There was a trend toward improved performance scoring but no difference in anxiety levels after stress training. However, 91% of residents rated the stress training as valuable. © 2013 Elsevier Inc. All rights reserved.","author":[{"dropping-particle":"","family":"Maher","given":"Zoë","non-dropping-particle":"","parse-names":false,"suffix":""},{"dropping-particle":"","family":"Milner","given":"Richard","non-dropping-particle":"","parse-names":false,"suffix":""},{"dropping-particle":"","family":"Cripe","given":"Jane","non-dropping-particle":"","parse-names":false,"suffix":""},{"dropping-particle":"","family":"Gaughan","given":"John","non-dropping-particle":"","parse-names":false,"suffix":""},{"dropping-particle":"","family":"Fish","given":"Joel","non-dropping-particle":"","parse-names":false,"suffix":""},{"dropping-particle":"","family":"Goldberg","given":"Amy J.","non-dropping-particle":"","parse-names":false,"suffix":""}],"container-title":"American Journal of Surgery","id":"ITEM-1","issue":"2","issued":{"date-parts":[["2013"]]},"page":"169-274","title":"Stress training for the surgical resident","type":"article-journal","volume":"205"},"uris":["http://www.mendeley.com/documents/?uuid=309915dd-4bc9-4933-9a14-9eb713998228"]}],"mendeley":{"formattedCitation":"(23)","plainTextFormattedCitation":"(23)","previouslyFormattedCitation":"(23)"},"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(23)</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3314D8DD"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Maher et al., 2013</w:t>
            </w:r>
          </w:p>
        </w:tc>
        <w:tc>
          <w:tcPr>
            <w:tcW w:w="1931" w:type="dxa"/>
            <w:tcBorders>
              <w:top w:val="nil"/>
              <w:left w:val="single" w:sz="8" w:space="0" w:color="auto"/>
              <w:bottom w:val="single" w:sz="4" w:space="0" w:color="auto"/>
              <w:right w:val="single" w:sz="4" w:space="0" w:color="auto"/>
            </w:tcBorders>
            <w:noWrap/>
            <w:vAlign w:val="bottom"/>
            <w:hideMark/>
          </w:tcPr>
          <w:p w14:paraId="41D05321"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7011DF58"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78B2224F"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64DB2DE7"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477CE4D6"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1D63D17E"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0609DF" w14:paraId="75CF667D" w14:textId="77777777" w:rsidTr="005A1E56">
        <w:trPr>
          <w:trHeight w:val="288"/>
        </w:trPr>
        <w:tc>
          <w:tcPr>
            <w:tcW w:w="983" w:type="dxa"/>
            <w:tcBorders>
              <w:top w:val="nil"/>
              <w:left w:val="single" w:sz="8" w:space="0" w:color="auto"/>
              <w:bottom w:val="single" w:sz="4" w:space="0" w:color="auto"/>
              <w:right w:val="single" w:sz="4" w:space="0" w:color="auto"/>
            </w:tcBorders>
          </w:tcPr>
          <w:p w14:paraId="5A7ED5BB"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{"citationItems":[{"id":"ITEM-1","itemData":{"DOI":"10.1037/a0034106","ISSN":"1076898X","PMID":"24059821","abstract":"The biopsychosocial model of challenge and threat (Blascovich, 2008) suggests that individuals who evaluate a performance situation as a challenge will perform better than those who evaluate it as a threat. However, limited research has examined (a) the influence of challenge and threat evaluations on learned motor performance under pressure and (b) the attentional processes by which this effect occurs. In the present study 52 novices performed a motor task (laparoscopic surgery), for which optimal visual attentional control has been established. Participants performed a Baseline trial (when the task was novel) and were then trained to proficiency before performing under pressurized conditions designed to increase anxiety (Pressure). At Baseline, regression analyses were performed to examine the relationship between challenge/threat evaluations and the outcome variables (performance, cardiovascular response, and visual attention). At Pressure, hierarchical regression analyses (controlling for the degree of learning) were performed to examine the relationship between challenge/threat evaluations and the outcome variables. At both Baseline and Pressure tests evaluating the task as more of a challenge was associated with more effective attentional control and superior performance. In the Baseline test, evaluating the task as more of a challenge was associated with differential cardiovascular responses. Although there is some support for an attentional explanation of differential performance effects, additional analyses did not reveal mediators of the relationship between challenge/threat evaluations and motor performance. The findings have implications for the training and performance of motor skills in pressurized environments (e.g., surgery, sport, aviation) © 2013 American Psychological Association.","author":[{"dropping-particle":"","family":"Vine","given":"Samuel J.","non-dropping-particle":"","parse-names":false,"suffix":""},{"dropping-particle":"","family":"Freeman","given":"Paul","non-dropping-particle":"","parse-names":false,"suffix":""},{"dropping-particle":"","family":"Moore","given":"Lee J.","non-dropping-particle":"","parse-names":false,"suffix":""},{"dropping-particle":"","family":"Chandra-Ramanan","given":"Roy","non-dropping-particle":"","parse-names":false,"suffix":""},{"dropping-particle":"","family":"Wilson","given":"Mark R.","non-dropping-particle":"","parse-names":false,"suffix":""}],"container-title":"Journal of Experimental Psychology: Applied","id":"ITEM-1","issue":"3","issued":{"date-parts":[["2013"]]},"page":"185-194","title":"Evaluating stress as a challenge is associated with superior attentional control and motor skill performance: Testing the predictions of the biopsychosocial model of challenge and threat","type":"article-journal","volume":"19"},"uris":["http://www.mendeley.com/documents/?uuid=b46a26e6-a403-4deb-81fe-ecf08a78c866"]}],"mendeley":{"formattedCitation":"(87)","plainTextFormattedCitation":"(87)","previouslyFormattedCitation":"(87)"},"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(87)</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4EDA41F9"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Vine et al., 2013</w:t>
            </w:r>
          </w:p>
        </w:tc>
        <w:tc>
          <w:tcPr>
            <w:tcW w:w="1931" w:type="dxa"/>
            <w:tcBorders>
              <w:top w:val="nil"/>
              <w:left w:val="single" w:sz="8" w:space="0" w:color="auto"/>
              <w:bottom w:val="single" w:sz="4" w:space="0" w:color="auto"/>
              <w:right w:val="single" w:sz="4" w:space="0" w:color="auto"/>
            </w:tcBorders>
            <w:noWrap/>
            <w:vAlign w:val="bottom"/>
            <w:hideMark/>
          </w:tcPr>
          <w:p w14:paraId="2621BB89"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77243495"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430232B6"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46605040"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77F382CF"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53EE3E0D"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0609DF" w14:paraId="17F19B73" w14:textId="77777777" w:rsidTr="005A1E56">
        <w:trPr>
          <w:trHeight w:val="288"/>
        </w:trPr>
        <w:tc>
          <w:tcPr>
            <w:tcW w:w="983" w:type="dxa"/>
            <w:tcBorders>
              <w:top w:val="nil"/>
              <w:left w:val="single" w:sz="8" w:space="0" w:color="auto"/>
              <w:bottom w:val="single" w:sz="4" w:space="0" w:color="auto"/>
              <w:right w:val="single" w:sz="4" w:space="0" w:color="auto"/>
            </w:tcBorders>
          </w:tcPr>
          <w:p w14:paraId="309BCD96"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{"citationItems":[{"id":"ITEM-1","itemData":{"DOI":"10.1016/j.surg.2014.05.004","ISSN":"15327361","PMID":"25151552","abstract":"Background We examined the effectiveness of traditional technical training (TT) and quiet eye training (QET) on the performance of 1-handed square knot tying among first-year surgery residents under normal and high-anxiety conditions.\nMethods Twenty surgery residents were assigned randomly to 1 of 2 groups and completed pretest, training, and simple and complex retention tests under conditions of high and low anxiety. The TT group received traditional instruction on improving hand movements; the QET group received feedback on their gaze behaviors. Participants wore an eye tracker that recorded simultaneously their gaze and hand movements. Dependent variables were knot tying performance (%), quiet eye duration (%), number of fixations, and total movement time (s).\nResults Both groups improved their knot tying performance (P &lt;.05) from pretest to the low anxiety conditions (mean difference: QET, 28%; TT, 17%); however, only the QET group maintained their knot tying performance under the high-anxiety conditions (mean difference: QET, 18%; P &lt;.05), with the TT group decreasing their performance close to pretest levels (P &gt;.05). The QET group also demonstrated more efficient gaze and hand movements post training.\nConclusion These data demonstrate the effectiveness of training gaze behaviors, not only to improve the effectiveness and efficiency of performance, but also to mediate negative effects of anxiety on performance. These findings may have important implications for medical educators and practitioners, as well as surgeons who may be (re)training or learning new procedures.","author":[{"dropping-particle":"","family":"Causer","given":"Joe","non-dropping-particle":"","parse-names":false,"suffix":""},{"dropping-particle":"","family":"Vickers","given":"Joan N.","non-dropping-particle":"","parse-names":false,"suffix":""},{"dropping-particle":"","family":"Snelgrove","given":"Ryan","non-dropping-particle":"","parse-names":false,"suffix":""},{"dropping-particle":"","family":"Arsenault","given":"Gina","non-dropping-particle":"","parse-names":false,"suffix":""},{"dropping-particle":"","family":"Harvey","given":"Adrian","non-dropping-particle":"","parse-names":false,"suffix":""}],"container-title":"Surgery (United States)","id":"ITEM-1","issue":"5","issued":{"date-parts":[["2014"]]},"page":"1089-1096","title":"Performing under pressure: Quiet eye training improves surgical knot-tying performance","type":"article-journal","volume":"156"},"uris":["http://www.mendeley.com/documents/?uuid=229c7a0c-7224-40cd-9d2d-33e2d8e0d279"]}],"mendeley":{"formattedCitation":"(57)","plainTextFormattedCitation":"(57)","previouslyFormattedCitation":"(57)"},"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(57)</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642AB6DA"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Causer et al., 2014</w:t>
            </w:r>
          </w:p>
        </w:tc>
        <w:tc>
          <w:tcPr>
            <w:tcW w:w="1931" w:type="dxa"/>
            <w:tcBorders>
              <w:top w:val="nil"/>
              <w:left w:val="single" w:sz="8" w:space="0" w:color="auto"/>
              <w:bottom w:val="single" w:sz="4" w:space="0" w:color="auto"/>
              <w:right w:val="single" w:sz="4" w:space="0" w:color="auto"/>
            </w:tcBorders>
            <w:noWrap/>
            <w:vAlign w:val="bottom"/>
            <w:hideMark/>
          </w:tcPr>
          <w:p w14:paraId="55B5AE59"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269" w:type="dxa"/>
            <w:tcBorders>
              <w:top w:val="nil"/>
              <w:left w:val="single" w:sz="8" w:space="0" w:color="auto"/>
              <w:bottom w:val="single" w:sz="4" w:space="0" w:color="auto"/>
              <w:right w:val="single" w:sz="4" w:space="0" w:color="auto"/>
            </w:tcBorders>
            <w:noWrap/>
            <w:vAlign w:val="bottom"/>
            <w:hideMark/>
          </w:tcPr>
          <w:p w14:paraId="35EE6E6A"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170EA96F"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2886C165"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 xml:space="preserve">Low </w:t>
            </w:r>
          </w:p>
        </w:tc>
        <w:tc>
          <w:tcPr>
            <w:tcW w:w="1701" w:type="dxa"/>
            <w:tcBorders>
              <w:top w:val="nil"/>
              <w:left w:val="single" w:sz="8" w:space="0" w:color="auto"/>
              <w:bottom w:val="single" w:sz="4" w:space="0" w:color="auto"/>
              <w:right w:val="single" w:sz="4" w:space="0" w:color="auto"/>
            </w:tcBorders>
            <w:noWrap/>
            <w:vAlign w:val="bottom"/>
            <w:hideMark/>
          </w:tcPr>
          <w:p w14:paraId="54B610C3"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67ADF735"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5372EC" w14:paraId="5F65B1E3" w14:textId="77777777" w:rsidTr="005A1E56">
        <w:trPr>
          <w:trHeight w:val="288"/>
        </w:trPr>
        <w:tc>
          <w:tcPr>
            <w:tcW w:w="983" w:type="dxa"/>
            <w:tcBorders>
              <w:top w:val="nil"/>
              <w:left w:val="single" w:sz="8" w:space="0" w:color="auto"/>
              <w:bottom w:val="single" w:sz="4" w:space="0" w:color="auto"/>
              <w:right w:val="single" w:sz="4" w:space="0" w:color="auto"/>
            </w:tcBorders>
          </w:tcPr>
          <w:p w14:paraId="2AE55389"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{"citationItems":[{"id":"ITEM-1","itemData":{"DOI":"10.1159/000365580","ISSN":"14219883","PMID":"25277215","abstract":"Background: Laparoscopic surgery might be beneficial for the patient, but it imposes increased physical and mental strain on the surgeon. Robot-assisted laparoscopic surgery addresses some of the laparoscopic drawbacks and may potentially reduce mental strain. This could reduce the risk of surgeon's fatigue, mishaps and strain-induced illnesses, which may eventually improve the safety of laparoscopic surgical procedures. Methods: To test this hypothesis, a randomized study was performed, comparing both heart rate and heart rate variability (HRV) of the surgeon as a measure of total and mental strain, respectively, during conventional and robot-assisted laparoscopic cholecystectomy. Results: Both heart rate and HRV (the low-frequency band/high-frequency band ratio) were significantly decreased when using robotic assistance. Conclusions: These data suggest the use of the daVinci ® Surgical System leads to less physical and mental strain of the surgeon during surgery. However, assessing mental strain by means of HRV is cumbersome since there is no clear cutoff point or scale for maximum tolerated strain levels and its related effects on surgeon's health.","author":[{"dropping-particle":"","family":"Heemskerk","given":"Jeroen","non-dropping-particle":"","parse-names":false,"suffix":""},{"dropping-particle":"","family":"Zandbergen","given":"H. Reinier","non-dropping-particle":"","parse-names":false,"suffix":""},{"dropping-particle":"","family":"Keet","given":"Sander W.M.","non-dropping-particle":"","parse-names":false,"suffix":""},{"dropping-particle":"","family":"Martijnse","given":"Ingrid","non-dropping-particle":"","parse-names":false,"suffix":""},{"dropping-particle":"","family":"Montfort","given":"Gust","non-dropping-particle":"Van","parse-names":false,"suffix":""},{"dropping-particle":"","family":"Peters","given":"Rob J.A.","non-dropping-particle":"","parse-names":false,"suffix":""},{"dropping-particle":"","family":"Svircevic","given":"Vesna","non-dropping-particle":"","parse-names":false,"suffix":""},{"dropping-particle":"","family":"Bouwman","given":"R. Arthur","non-dropping-particle":"","parse-names":false,"suffix":""},{"dropping-particle":"","family":"Baeten","given":"Cor G.M.I.","non-dropping-particle":"","parse-names":false,"suffix":""},{"dropping-particle":"","family":"Bouvy","given":"Nicole D.","non-dropping-particle":"","parse-names":false,"suffix":""}],"container-title":"Digestive Surgery","id":"ITEM-1","issue":"3","issued":{"date-parts":[["2014"]]},"page":"225-232","title":"Relax, it's just laparoscopy! A prospective randomized trial on heart rate variability of the surgeon in robot-assisted versus conventional laparoscopic cholecystectomy","type":"article-journal","volume":"31"},"uris":["http://www.mendeley.com/documents/?uuid=83967624-c3af-45b3-b709-e1a1bc31c53c"]}],"mendeley":{"formattedCitation":"(58)","plainTextFormattedCitation":"(58)","previouslyFormattedCitation":"(58)"},"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(58)</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3AC2708F"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Heemskerk et al., 2014</w:t>
            </w:r>
          </w:p>
        </w:tc>
        <w:tc>
          <w:tcPr>
            <w:tcW w:w="1931" w:type="dxa"/>
            <w:tcBorders>
              <w:top w:val="nil"/>
              <w:left w:val="single" w:sz="8" w:space="0" w:color="auto"/>
              <w:bottom w:val="single" w:sz="4" w:space="0" w:color="auto"/>
              <w:right w:val="single" w:sz="4" w:space="0" w:color="auto"/>
            </w:tcBorders>
            <w:noWrap/>
            <w:vAlign w:val="bottom"/>
            <w:hideMark/>
          </w:tcPr>
          <w:p w14:paraId="5064E3DB"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49863474"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3C97358F"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0FEE8C9D"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4D951875"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6BD82DE6"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Some concerns</w:t>
            </w:r>
          </w:p>
        </w:tc>
      </w:tr>
      <w:tr w:rsidR="00D724F8" w:rsidRPr="000609DF" w14:paraId="1DA4883D" w14:textId="77777777" w:rsidTr="005A1E56">
        <w:trPr>
          <w:trHeight w:val="288"/>
        </w:trPr>
        <w:tc>
          <w:tcPr>
            <w:tcW w:w="983" w:type="dxa"/>
            <w:tcBorders>
              <w:top w:val="nil"/>
              <w:left w:val="single" w:sz="8" w:space="0" w:color="auto"/>
              <w:bottom w:val="single" w:sz="4" w:space="0" w:color="auto"/>
              <w:right w:val="single" w:sz="4" w:space="0" w:color="auto"/>
            </w:tcBorders>
          </w:tcPr>
          <w:p w14:paraId="5B662981"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{"citationItems":[{"id":"ITEM-1","itemData":{"DOI":"10.1007/s11701-013-0446-8","ISSN":"18632483","abstract":"Prior research has indicated that novices experienced a beneficial stress profile in the robotic surgery (da Vinci) training environment when compared to the laparoscopic surgery training environment. The objective of this study was to assess whether this finding generalizes to expert surgeons. Towards that end, first-year residents' and attending surgeons' performances and subjective stress experiences were assessed in a surgical training task that was performed with the da Vinci and laparoscopic surgery interfaces. This study indicated that both groups exhibited superior performance and lower stress with the da Vinci surgical system than the laparoscopic system. The results provide further support for the sensitivity of the Dundee Stress State Questionnaire in identifying different stress responses experienced by trainees and experts in the minimally invasive surgery environment. © 2014 Springer-Verlag London.","author":[{"dropping-particle":"","family":"Klein","given":"Martina I.","non-dropping-particle":"","parse-names":false,"suffix":""},{"dropping-particle":"","family":"Mouraviev","given":"Vladimir","non-dropping-particle":"","parse-names":false,"suffix":""},{"dropping-particle":"","family":"Craig","given":"Curtis","non-dropping-particle":"","parse-names":false,"suffix":""},{"dropping-particle":"","family":"Salamone","given":"Lou","non-dropping-particle":"","parse-names":false,"suffix":""},{"dropping-particle":"","family":"Plerhoples","given":"Timothy A.","non-dropping-particle":"","parse-names":false,"suffix":""},{"dropping-particle":"","family":"Wren","given":"Sherry M.","non-dropping-particle":"","parse-names":false,"suffix":""},{"dropping-particle":"","family":"Gaitonde","given":"Krishnanath","non-dropping-particle":"","parse-names":false,"suffix":""}],"container-title":"Journal of Robotic Surgery","id":"ITEM-1","issue":"2","issued":{"date-parts":[["2014"]]},"page":"149-155","title":"Mental stress experienced by first-year residents and expert surgeons with robotic and laparoscopic surgery interfaces","type":"article-journal","volume":"8"},"uris":["http://www.mendeley.com/documents/?uuid=7a1d8b47-6c91-48f3-831b-edaf8afdb7f2"]}],"mendeley":{"formattedCitation":"(113)","plainTextFormattedCitation":"(113)","previouslyFormattedCitation":"(113)"},"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(113)</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7953241C"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Klein et al., 2014</w:t>
            </w:r>
          </w:p>
        </w:tc>
        <w:tc>
          <w:tcPr>
            <w:tcW w:w="1931" w:type="dxa"/>
            <w:tcBorders>
              <w:top w:val="nil"/>
              <w:left w:val="single" w:sz="8" w:space="0" w:color="auto"/>
              <w:bottom w:val="single" w:sz="4" w:space="0" w:color="auto"/>
              <w:right w:val="single" w:sz="4" w:space="0" w:color="auto"/>
            </w:tcBorders>
            <w:noWrap/>
            <w:vAlign w:val="bottom"/>
            <w:hideMark/>
          </w:tcPr>
          <w:p w14:paraId="059D35BE"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7B237F54"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1BD8BA65"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High</w:t>
            </w:r>
          </w:p>
        </w:tc>
        <w:tc>
          <w:tcPr>
            <w:tcW w:w="1842" w:type="dxa"/>
            <w:tcBorders>
              <w:top w:val="nil"/>
              <w:left w:val="single" w:sz="8" w:space="0" w:color="auto"/>
              <w:bottom w:val="single" w:sz="4" w:space="0" w:color="auto"/>
              <w:right w:val="single" w:sz="4" w:space="0" w:color="auto"/>
            </w:tcBorders>
            <w:noWrap/>
            <w:vAlign w:val="bottom"/>
            <w:hideMark/>
          </w:tcPr>
          <w:p w14:paraId="6473785A"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High</w:t>
            </w:r>
          </w:p>
        </w:tc>
        <w:tc>
          <w:tcPr>
            <w:tcW w:w="1701" w:type="dxa"/>
            <w:tcBorders>
              <w:top w:val="nil"/>
              <w:left w:val="single" w:sz="8" w:space="0" w:color="auto"/>
              <w:bottom w:val="single" w:sz="4" w:space="0" w:color="auto"/>
              <w:right w:val="single" w:sz="4" w:space="0" w:color="auto"/>
            </w:tcBorders>
            <w:noWrap/>
            <w:vAlign w:val="bottom"/>
            <w:hideMark/>
          </w:tcPr>
          <w:p w14:paraId="3CDCEF5C"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02D76E06"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Some concerns</w:t>
            </w:r>
          </w:p>
        </w:tc>
      </w:tr>
      <w:tr w:rsidR="00D724F8" w:rsidRPr="000609DF" w14:paraId="5B695D67" w14:textId="77777777" w:rsidTr="005A1E56">
        <w:trPr>
          <w:trHeight w:val="288"/>
        </w:trPr>
        <w:tc>
          <w:tcPr>
            <w:tcW w:w="983" w:type="dxa"/>
            <w:tcBorders>
              <w:top w:val="nil"/>
              <w:left w:val="single" w:sz="8" w:space="0" w:color="auto"/>
              <w:bottom w:val="single" w:sz="4" w:space="0" w:color="auto"/>
              <w:right w:val="single" w:sz="4" w:space="0" w:color="auto"/>
            </w:tcBorders>
          </w:tcPr>
          <w:p w14:paraId="4C0B5E82"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{"citationItems":[{"id":"ITEM-1","itemData":{"DOI":"10.1007/s00464-013-3350-4","ISSN":"14322218","PMID":"24399519","abstract":"Background: Minimal access surgery and, lately, single-incision laparoscopic procedures are challenging and demanding with regard to the skills of the surgeon performing the procedures. This article presents the results of an investigation of the performance and attention focus of 21 medical interns and surgical residents training in an immersive context. That is, training 'in situation', representing more realistically the demands imposed on the surgeons during minimal access surgery. Methods: Twenty-one medical interns and surgical residents participated in simulation trainings in an integrated operating room for laparoscopic surgery. Various physiological measures of body heat expenditure were gathered as indicators of mental strain and attention focus. Results: The results of the Mann-Whitney test indicated that participants with a poor performance in the two laparoscopic cholecystectomy cases had a significantly (U = 3, p = 0.038) higher heat flux at the start of the procedure (mean 107.08, standard deviation [SD] 24.34) than those who excelled in the two cases (mean 62.64, SD 23.41). Also, the average frontal head temperature of the participants who failed at the task was significantly lower (mean 33.27, SD 0.52) than those who performed well (mean 33.92, SD 0.27). Conclusions: Surgeons cannot operate in a bubble; thus, they should not be trained in one. Combining heat flux and frontal head temperature could be a good measure of deep involvement and attentional focus during performance of simulated surgical tasks. © 2014 Springer Science+Business Media.","author":[{"dropping-particle":"","family":"Pluyter","given":"Jon R.","non-dropping-particle":"","parse-names":false,"suffix":""},{"dropping-particle":"","family":"Rutkowski","given":"Anne F.","non-dropping-particle":"","parse-names":false,"suffix":""},{"dropping-particle":"","family":"Jakimowicz","given":"Jack J.","non-dropping-particle":"","parse-names":false,"suffix":""}],"container-title":"Surgical Endoscopy","id":"ITEM-1","issue":"5","issued":{"date-parts":[["2014"]]},"page":"1545-1554","title":"Immersive training: Breaking the bubble and measuring the heat","type":"article-journal","volume":"28"},"uris":["http://www.mendeley.com/documents/?uuid=5d029567-825a-4325-afa0-ae4804391b87"]}],"mendeley":{"formattedCitation":"(92)","plainTextFormattedCitation":"(92)","previouslyFormattedCitation":"(92)"},"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(92)</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6B35839B" w14:textId="77777777" w:rsidR="00D724F8" w:rsidRPr="000609DF" w:rsidRDefault="00D724F8" w:rsidP="005A1E56">
            <w:pPr>
              <w:spacing w:after="0" w:line="240" w:lineRule="auto"/>
              <w:rPr>
                <w:rFonts w:ascii="Arial" w:eastAsia="Times New Roman" w:hAnsi="Arial" w:cs="Arial"/>
                <w:color w:val="000000"/>
                <w:sz w:val="16"/>
                <w:szCs w:val="16"/>
                <w:lang w:eastAsia="es-ES"/>
              </w:rPr>
            </w:pPr>
            <w:proofErr w:type="spellStart"/>
            <w:r w:rsidRPr="70FF01BB">
              <w:rPr>
                <w:rFonts w:ascii="Arial" w:eastAsia="Times New Roman" w:hAnsi="Arial" w:cs="Arial"/>
                <w:color w:val="000000" w:themeColor="text1"/>
                <w:sz w:val="16"/>
                <w:szCs w:val="16"/>
              </w:rPr>
              <w:t>Pluyter</w:t>
            </w:r>
            <w:proofErr w:type="spellEnd"/>
            <w:r w:rsidRPr="70FF01BB">
              <w:rPr>
                <w:rFonts w:ascii="Arial" w:eastAsia="Times New Roman" w:hAnsi="Arial" w:cs="Arial"/>
                <w:color w:val="000000" w:themeColor="text1"/>
                <w:sz w:val="16"/>
                <w:szCs w:val="16"/>
              </w:rPr>
              <w:t xml:space="preserve"> et al., 2014</w:t>
            </w:r>
          </w:p>
        </w:tc>
        <w:tc>
          <w:tcPr>
            <w:tcW w:w="1931" w:type="dxa"/>
            <w:tcBorders>
              <w:top w:val="nil"/>
              <w:left w:val="single" w:sz="8" w:space="0" w:color="auto"/>
              <w:bottom w:val="single" w:sz="4" w:space="0" w:color="auto"/>
              <w:right w:val="single" w:sz="4" w:space="0" w:color="auto"/>
            </w:tcBorders>
            <w:noWrap/>
            <w:vAlign w:val="bottom"/>
            <w:hideMark/>
          </w:tcPr>
          <w:p w14:paraId="7F06BE1A"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40B7E1C2"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695CA21F"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21C46684"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069D94F9"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6668BEB7"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5372EC" w14:paraId="6442F90B" w14:textId="77777777" w:rsidTr="005A1E56">
        <w:trPr>
          <w:trHeight w:val="288"/>
        </w:trPr>
        <w:tc>
          <w:tcPr>
            <w:tcW w:w="983" w:type="dxa"/>
            <w:tcBorders>
              <w:top w:val="nil"/>
              <w:left w:val="single" w:sz="8" w:space="0" w:color="auto"/>
              <w:bottom w:val="single" w:sz="4" w:space="0" w:color="auto"/>
              <w:right w:val="single" w:sz="4" w:space="0" w:color="auto"/>
            </w:tcBorders>
          </w:tcPr>
          <w:p w14:paraId="743119F9"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{"citationItems":[{"id":"ITEM-1","itemData":{"DOI":"10.1007/s00420-013-0847-z","ISSN":"03400131","PMID":"23370764","abstract":"Objective: In a difficult and demanding environment such as the operating room, the individual workload response of physicians is of particular importance. The aim of this study was to examine the specific effects of intraoperative stress on the cardiovascular system by measuring heart rate (HR) and heart rate variability (HRV). Methods: In a cross-sectional study, the effect of intraoperative stress on autonomic balance, measured by HRV, among surgeons differing with respect to their intraoperative stress levels was studied. Based on their perceived stress (State Trait Anxiety Inventory), surgeons were classified into a stressed and a non-stressed sample. Data on HR and HRV were collected by means of ambulatory ECG-recordings. Changes in autonomic nervous system activity were quantified by frequency and time domain analysis of R-R interval variability. Demographic,anthropometric, and surgery-related group differences were assessed by non-parametric Mann-Whitney U test, differences between relative changes of HR and HRV by Wilcoxon signed-ranks test. In multivariate linear analysis of covariance, group differences were adjusted for possible confounding factors. Results There was a significant difference in intraoperative HR for stressed and non-stressed surgeons (median:99.3 vs. 63.7; P&lt;0.05). During sleep, HRV indices indicated a reduced autonomic recovery in stressed participants.Conclusions: Our results reveal that higher perceived stress in the operating room is associated with increased intraoperative HR and decreased HRV at night. Nonstressed surgeons show greater relaxation during sleep compared to their stressed colleagues. © Springer-Verlag Berlin Heidelberg 2013.","author":[{"dropping-particle":"","family":"Rieger","given":"Annika","non-dropping-particle":"","parse-names":false,"suffix":""},{"dropping-particle":"","family":"Stoll","given":"Regina","non-dropping-particle":"","parse-names":false,"suffix":""},{"dropping-particle":"","family":"Kreuzfeld","given":"Steffi","non-dropping-particle":"","parse-names":false,"suffix":""},{"dropping-particle":"","family":"Behrens","given":"Kristin","non-dropping-particle":"","parse-names":false,"suffix":""},{"dropping-particle":"","family":"Weippert","given":"Matthias","non-dropping-particle":"","parse-names":false,"suffix":""}],"container-title":"International Archives of Occupational and Environmental Health","id":"ITEM-1","issue":"4","issued":{"date-parts":[["2014"]]},"page":"335-341","title":"Heart rate and heart rate variability as indirect markers of surgeons' intraoperative stress","type":"article-journal","volume":"17"},"uris":["http://www.mendeley.com/documents/?uuid=d01e4a29-2196-460c-9ded-49bcbbf599bf"]}],"mendeley":{"formattedCitation":"(59)","plainTextFormattedCitation":"(59)","previouslyFormattedCitation":"(59)"},"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(59)</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1ABE5255"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Rieger et al., 2014</w:t>
            </w:r>
          </w:p>
        </w:tc>
        <w:tc>
          <w:tcPr>
            <w:tcW w:w="1931" w:type="dxa"/>
            <w:tcBorders>
              <w:top w:val="nil"/>
              <w:left w:val="single" w:sz="8" w:space="0" w:color="auto"/>
              <w:bottom w:val="single" w:sz="4" w:space="0" w:color="auto"/>
              <w:right w:val="single" w:sz="4" w:space="0" w:color="auto"/>
            </w:tcBorders>
            <w:noWrap/>
            <w:vAlign w:val="bottom"/>
            <w:hideMark/>
          </w:tcPr>
          <w:p w14:paraId="12693783"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69834BA5"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6CF9D57A"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42" w:type="dxa"/>
            <w:tcBorders>
              <w:top w:val="nil"/>
              <w:left w:val="single" w:sz="8" w:space="0" w:color="auto"/>
              <w:bottom w:val="single" w:sz="4" w:space="0" w:color="auto"/>
              <w:right w:val="single" w:sz="4" w:space="0" w:color="auto"/>
            </w:tcBorders>
            <w:noWrap/>
            <w:vAlign w:val="bottom"/>
            <w:hideMark/>
          </w:tcPr>
          <w:p w14:paraId="477F8FAC"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701" w:type="dxa"/>
            <w:tcBorders>
              <w:top w:val="nil"/>
              <w:left w:val="single" w:sz="8" w:space="0" w:color="auto"/>
              <w:bottom w:val="single" w:sz="4" w:space="0" w:color="auto"/>
              <w:right w:val="single" w:sz="4" w:space="0" w:color="auto"/>
            </w:tcBorders>
            <w:noWrap/>
            <w:vAlign w:val="bottom"/>
            <w:hideMark/>
          </w:tcPr>
          <w:p w14:paraId="03B7981F"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3553A08C"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5372EC" w14:paraId="4DBAAE53" w14:textId="77777777" w:rsidTr="005A1E56">
        <w:trPr>
          <w:trHeight w:val="288"/>
        </w:trPr>
        <w:tc>
          <w:tcPr>
            <w:tcW w:w="983" w:type="dxa"/>
            <w:tcBorders>
              <w:top w:val="nil"/>
              <w:left w:val="single" w:sz="8" w:space="0" w:color="auto"/>
              <w:bottom w:val="single" w:sz="4" w:space="0" w:color="auto"/>
              <w:right w:val="single" w:sz="4" w:space="0" w:color="auto"/>
            </w:tcBorders>
          </w:tcPr>
          <w:p w14:paraId="78590132"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{"citationItems":[{"id":"ITEM-1","itemData":{"DOI":"10.1007/s10397-015-0891-7","ISSN":"16132084","abstract":"Robotic-assisted laparoscopic surgery (RALS) is making an increasingly significant contribution to the field of gynaecological surgery. RALS offers similar patient benefits to standard laparoscopic surgery (SLS) with a potentially more ergonomically friendly and less stressful environment for the surgeon. However, our understanding of how RALS may potentially reduce physiological stress on the surgeon is currently limited. To assess how performing surgical tasks using RALS in comparison to SLS impacts on hypothalamic pituitary adrenal (HPA) axis function and sympathetic nervous system (SNS) activity, two key indicators of the physiological stress response. This study is an analytical, within subjects, crossover design study. Sixteen surgically inexperienced medical students performed tasks with both SLS and RALS instrumentation. Blood pressure (BP) was taken before and after task performance. Skin conductance level (SCL), heart rate (HR) and HR variability (HRV) were measured continuously during task performance. Pre- and post-task saliva samples were collected to determine cortisol levels using ELISA. SCL was significantly lower during RALS in comparison to SLS task performance (p &lt; 0.05). HR was significantly lower during RALS vs. SLS tasks (p &lt; 0.01). Both HRV measures were significantly higher during RALS vs. SLS tasks (p &lt; 0.01). Cortisol levels and BP were lower during RALS vs. SLS but did not reach statistical significance (p = 0.73 and p = 0.22, respectively). Stress can impair surgeon’s technical and nontechnical skills. These results indicate that the improved ergonomic setup of RALS has a beneficial impact on physiological indicators of stress. This also demonstrates the potential of RALS to reduce the negative effects of long-term stress exposure on the surgeon.","author":[{"dropping-particle":"","family":"Hurley","given":"A. M.","non-dropping-particle":"","parse-names":false,"suffix":""},{"dropping-particle":"","family":"Kennedy","given":"P. J.","non-dropping-particle":"","parse-names":false,"suffix":""},{"dropping-particle":"","family":"O’Connor","given":"L.","non-dropping-particle":"","parse-names":false,"suffix":""},{"dropping-particle":"","family":"Dinan","given":"T. G.","non-dropping-particle":"","parse-names":false,"suffix":""},{"dropping-particle":"","family":"Cryan","given":"J. F.","non-dropping-particle":"","parse-names":false,"suffix":""},{"dropping-particle":"","family":"Boylan","given":"G.","non-dropping-particle":"","parse-names":false,"suffix":""},{"dropping-particle":"","family":"O’Reilly","given":"B. A.","non-dropping-particle":"","parse-names":false,"suffix":""}],"container-title":"Gynecological Surgery","id":"ITEM-1","issued":{"date-parts":[["2015"]]},"page":"197-206","title":"SOS save our surgeons: Stress levels reduced by robotic surgery","type":"article-journal","volume":"12"},"uris":["http://www.mendeley.com/documents/?uuid=c99bc3e6-d55a-4523-a0bd-4a89677c4a0f"]}],"mendeley":{"formattedCitation":"(61)","plainTextFormattedCitation":"(61)","previouslyFormattedCitation":"(61)"},"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(61)</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098FD214"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Hurley et al., 2015</w:t>
            </w:r>
          </w:p>
        </w:tc>
        <w:tc>
          <w:tcPr>
            <w:tcW w:w="1931" w:type="dxa"/>
            <w:tcBorders>
              <w:top w:val="nil"/>
              <w:left w:val="single" w:sz="8" w:space="0" w:color="auto"/>
              <w:bottom w:val="single" w:sz="4" w:space="0" w:color="auto"/>
              <w:right w:val="single" w:sz="4" w:space="0" w:color="auto"/>
            </w:tcBorders>
            <w:noWrap/>
            <w:vAlign w:val="bottom"/>
            <w:hideMark/>
          </w:tcPr>
          <w:p w14:paraId="6D7B06EE"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269" w:type="dxa"/>
            <w:tcBorders>
              <w:top w:val="nil"/>
              <w:left w:val="single" w:sz="8" w:space="0" w:color="auto"/>
              <w:bottom w:val="single" w:sz="4" w:space="0" w:color="auto"/>
              <w:right w:val="single" w:sz="4" w:space="0" w:color="auto"/>
            </w:tcBorders>
            <w:noWrap/>
            <w:vAlign w:val="bottom"/>
            <w:hideMark/>
          </w:tcPr>
          <w:p w14:paraId="23C5C51C"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75278555"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0832F6A2"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701" w:type="dxa"/>
            <w:tcBorders>
              <w:top w:val="nil"/>
              <w:left w:val="single" w:sz="8" w:space="0" w:color="auto"/>
              <w:bottom w:val="single" w:sz="4" w:space="0" w:color="auto"/>
              <w:right w:val="single" w:sz="4" w:space="0" w:color="auto"/>
            </w:tcBorders>
            <w:noWrap/>
            <w:vAlign w:val="bottom"/>
            <w:hideMark/>
          </w:tcPr>
          <w:p w14:paraId="262C55EE"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0DE96454"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0609DF" w14:paraId="4FA26957" w14:textId="77777777" w:rsidTr="005A1E56">
        <w:trPr>
          <w:trHeight w:val="288"/>
        </w:trPr>
        <w:tc>
          <w:tcPr>
            <w:tcW w:w="983" w:type="dxa"/>
            <w:tcBorders>
              <w:top w:val="nil"/>
              <w:left w:val="single" w:sz="8" w:space="0" w:color="auto"/>
              <w:bottom w:val="single" w:sz="4" w:space="0" w:color="auto"/>
              <w:right w:val="single" w:sz="4" w:space="0" w:color="auto"/>
            </w:tcBorders>
          </w:tcPr>
          <w:p w14:paraId="0DBE8EC1" w14:textId="77777777" w:rsidR="00D724F8" w:rsidRPr="005372EC" w:rsidRDefault="00D724F8" w:rsidP="005A1E56">
            <w:pPr>
              <w:rPr>
                <w:rFonts w:ascii="Arial" w:hAnsi="Arial" w:cs="Arial"/>
                <w:sz w:val="16"/>
                <w:szCs w:val="16"/>
              </w:rPr>
            </w:pPr>
            <w:r w:rsidRPr="70FF01BB">
              <w:rPr>
                <w:rFonts w:ascii="Arial" w:hAnsi="Arial" w:cs="Arial"/>
                <w:sz w:val="16"/>
                <w:szCs w:val="16"/>
              </w:rPr>
              <w:lastRenderedPageBreak/>
              <w:fldChar w:fldCharType="begin" w:fldLock="1"/>
            </w:r>
            <w:r w:rsidRPr="70FF01BB">
              <w:rPr>
                <w:rFonts w:ascii="Arial" w:hAnsi="Arial" w:cs="Arial"/>
                <w:sz w:val="16"/>
                <w:szCs w:val="16"/>
              </w:rPr>
              <w:instrText>ADDIN CSL_CITATION {"citationItems":[{"id":"ITEM-1","itemData":{"DOI":"10.1111/codi.12844","ISSN":"14631318","PMID":"25406932","abstract":"Aim: Performance in the operating room is affected by a combination of individual, patient and environmental factors amongst others. Stress has a potential negative impact on performance with the quality of surgical practice and patient safety being affected as a result. In order to appreciate the level of stress encountered during surgical procedures both objective and subjective methods can be used. This study reports the use of a combined objective (physiological) and subjective (psychological) method for evaluating stress experienced by the operating surgeon. Method: Six consultant colorectal surgeons were evaluated performing eighteen anterior resections. Heart rate was recorded using a wireless chest strap at eight pre-determined operative steps. Heart Rate Variability indices were calculated offline using computerized software. Surgeon reported stress was collected using the State Trait Anxiety Inventory, a validated clinical stress scale. Results: A significant increase in stress was demonstrated in all surgeons whilst operating as indicated by sympathetic tone (control: 4.02 ± 2.28 vs operative: 11.42 ± 4.63; P &lt; 0.0001). Peaks in stress according to operative step were comparable across procedures and surgeons. There was a significant positive correlation with subjective reporting of stress across procedures (r = 0.766; P = 0.0005). Conclusion: This study demonstrates a significant increase in sympathetic tone in consultant surgeons measured using heart rate variability during elective colorectal resections. A significant correlation can be demonstrated between HRV measurements and perceived stress using the State Trait Anxiety Inventory. A combined approach to assessing operative stress is required to evaluate any effect on performance and outcomes.","author":[{"dropping-particle":"","family":"Jones","given":"K. I.","non-dropping-particle":"","parse-names":false,"suffix":""},{"dropping-particle":"","family":"Amawi","given":"F.","non-dropping-particle":"","parse-names":false,"suffix":""},{"dropping-particle":"","family":"Bhalla","given":"A.","non-dropping-particle":"","parse-names":false,"suffix":""},{"dropping-particle":"","family":"Peacock","given":"O.","non-dropping-particle":"","parse-names":false,"suffix":""},{"dropping-particle":"","family":"Williams","given":"J. P.","non-dropping-particle":"","parse-names":false,"suffix":""},{"dropping-particle":"","family":"Lund","given":"J. N.","non-dropping-particle":"","parse-names":false,"suffix":""}],"container-title":"Colorectal Disease","id":"ITEM-1","issue":"4","issued":{"date-parts":[["2015"]]},"page":"335-341","title":"Assessing surgeon stress when operating using heart rate variability and the State Trait Anxiety Inventory: Will surgery be the death of us?","type":"article-journal","volume":"17"},"uris":["http://www.mendeley.com/documents/?uuid=246ba60f-4569-4bb2-9df9-5940eea54da3"]}],"mendeley":{"formattedCitation":"(11)","plainTextFormattedCitation":"(11)","previouslyFormattedCitation":"(11)"},"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(11)</w:t>
            </w:r>
            <w:r w:rsidRPr="70FF01BB">
              <w:rPr>
                <w:rFonts w:ascii="Arial" w:hAnsi="Arial" w:cs="Arial"/>
                <w:sz w:val="16"/>
                <w:szCs w:val="16"/>
              </w:rPr>
              <w:fldChar w:fldCharType="end"/>
            </w:r>
          </w:p>
        </w:tc>
        <w:tc>
          <w:tcPr>
            <w:tcW w:w="1868" w:type="dxa"/>
            <w:tcBorders>
              <w:top w:val="nil"/>
              <w:left w:val="single" w:sz="8" w:space="0" w:color="auto"/>
              <w:bottom w:val="nil"/>
              <w:right w:val="single" w:sz="4" w:space="0" w:color="auto"/>
            </w:tcBorders>
            <w:noWrap/>
            <w:vAlign w:val="bottom"/>
            <w:hideMark/>
          </w:tcPr>
          <w:p w14:paraId="62774B77"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Jones et al., 2015</w:t>
            </w:r>
          </w:p>
        </w:tc>
        <w:tc>
          <w:tcPr>
            <w:tcW w:w="1931" w:type="dxa"/>
            <w:tcBorders>
              <w:top w:val="nil"/>
              <w:left w:val="single" w:sz="8" w:space="0" w:color="auto"/>
              <w:bottom w:val="single" w:sz="4" w:space="0" w:color="auto"/>
              <w:right w:val="single" w:sz="4" w:space="0" w:color="auto"/>
            </w:tcBorders>
            <w:noWrap/>
            <w:vAlign w:val="bottom"/>
            <w:hideMark/>
          </w:tcPr>
          <w:p w14:paraId="15970DC4"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5EF7E381"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66DFBAC1"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300C77B9"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6959C67A"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34202118"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5372EC" w14:paraId="331F79FC" w14:textId="77777777" w:rsidTr="005A1E56">
        <w:trPr>
          <w:trHeight w:val="288"/>
        </w:trPr>
        <w:tc>
          <w:tcPr>
            <w:tcW w:w="983" w:type="dxa"/>
            <w:tcBorders>
              <w:top w:val="nil"/>
              <w:left w:val="single" w:sz="8" w:space="0" w:color="auto"/>
              <w:bottom w:val="single" w:sz="4" w:space="0" w:color="auto"/>
              <w:right w:val="single" w:sz="4" w:space="0" w:color="auto"/>
            </w:tcBorders>
          </w:tcPr>
          <w:p w14:paraId="24AFFD5B"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{"citationItems":[{"id":"ITEM-1","itemData":{"DOI":"10.1089/end.2015.0239","ISSN":"0892-7790","abstract":"Purpose: To measure gamma and alpha brain wave activity as a measurement of concentration and stress levels during surgical simulator performance of laparoscopic tasks to determine if expert surgeons have different brain activity patterns compared with intermediate and novice surgeons. Materials and Methods: After obtaining Institutional Review Board approval, 1st and 2nd year medical students, urology residents (PGY2-PGY5), and attending urologists from one institution were recruited. Participants were stratified by level of experience and performed laparoscopic tasks on the EDGE laparoscopic simulator. Subjects were evaluated for concentration and stress levels using the electroencephalography (EEG) data extracted from the MUSE headband. The MUSE software developer kit (SDK) allowed quantification of gamma and alpha waves during each task. An analysis of variance was used to compare concentration and stress levels between groups. Results: A total of 19 participants were recruited for the study and stratified by surgical experience into novice, intermediate, and expert laparoscopy groups: 6 medical students, 9 urology residents, and 4 attending urologists, respectively. Concentration and stress were quantified by calculating the area under the curve of the gamma and alpha EEG wave tracings. Stress was significantly lower in the attending urologists compared with the residents and medical students during the laparoscopic suturing and trended toward significance in the peg transfer task (P=0.0003, P=0.069). Concentration was significantly higher in the expert group compared with the less experienced groups during both the peg and suture tasks (P=0.036, P=0.0039). Conclusions: EEG brain activity in more experienced surgeons reveals a significant increase in concentration levels with a decrease in stress during simulated laparoscopic tasks compared with novices. This information may correlate with increased proficiency as well as provide objective feedback of progress along the learning curve with the MUSE SDK.","author":[{"dropping-particle":"","family":"Maddox","given":"Michael M.","non-dropping-particle":"","parse-names":false,"suffix":""},{"dropping-particle":"","family":"Lopez","given":"Asis","non-dropping-particle":"","parse-names":false,"suffix":""},{"dropping-particle":"","family":"Mandava","given":"Sree Harsha","non-dropping-particle":"","parse-names":false,"suffix":""},{"dropping-particle":"","family":"Boonjindasup","given":"Aaron","non-dropping-particle":"","parse-names":false,"suffix":""},{"dropping-particle":"","family":"Viriyasiripong","given":"Sarayuth","non-dropping-particle":"","parse-names":false,"suffix":""},{"dropping-particle":"","family":"Silberstein","given":"Jonathan L.","non-dropping-particle":"","parse-names":false,"suffix":""},{"dropping-particle":"","family":"Lee","given":"Benjamin R.","non-dropping-particle":"","parse-names":false,"suffix":""}],"container-title":"Journal of Endourology","id":"ITEM-1","issue":"12","issued":{"date-parts":[["2015","12"]]},"page":"1329-1333","title":"Electroencephalographic monitoring of brain wave activity during laparoscopic surgical simulation to measure surgeon concentration and stress: Can the student become the master?","type":"article-journal","volume":"29"},"uris":["http://www.mendeley.com/documents/?uuid=dbaec034-26c8-351f-a474-1e4a9295197e"]}],"mendeley":{"formattedCitation":"(98)","plainTextFormattedCitation":"(98)","previouslyFormattedCitation":"(98)"},"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(98)</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0E97623B"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Maddox et al., 2015</w:t>
            </w:r>
          </w:p>
        </w:tc>
        <w:tc>
          <w:tcPr>
            <w:tcW w:w="1931" w:type="dxa"/>
            <w:tcBorders>
              <w:top w:val="nil"/>
              <w:left w:val="single" w:sz="8" w:space="0" w:color="auto"/>
              <w:bottom w:val="single" w:sz="4" w:space="0" w:color="auto"/>
              <w:right w:val="single" w:sz="4" w:space="0" w:color="auto"/>
            </w:tcBorders>
            <w:noWrap/>
            <w:vAlign w:val="bottom"/>
            <w:hideMark/>
          </w:tcPr>
          <w:p w14:paraId="60A02090"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7A0E17D0"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09B48F29"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6EE4D076"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5B1E4463"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33327E2E"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0609DF" w14:paraId="1B29B5EC" w14:textId="77777777" w:rsidTr="005A1E56">
        <w:trPr>
          <w:trHeight w:val="288"/>
        </w:trPr>
        <w:tc>
          <w:tcPr>
            <w:tcW w:w="983" w:type="dxa"/>
            <w:tcBorders>
              <w:top w:val="nil"/>
              <w:left w:val="single" w:sz="8" w:space="0" w:color="auto"/>
              <w:bottom w:val="single" w:sz="4" w:space="0" w:color="auto"/>
              <w:right w:val="single" w:sz="4" w:space="0" w:color="auto"/>
            </w:tcBorders>
          </w:tcPr>
          <w:p w14:paraId="59979921"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{"citationItems":[{"id":"ITEM-1","itemData":{"DOI":"10.1007/s00405-014-3154-8","ISSN":"14344726","PMID":"24972542","abstract":"The goal of modern organizational psychology is to recognize, anticipate and finally avoid stress situations. The aim of this study was to measure objectively the mental and physical demands during transnasal surgery with and without the aid of a navigation system. Forty endonasal surgeries (20 with and 20 without navigation, not blinded and not randomized) done by four different experienced rhinosurgeons (&gt;250 FESS procedures done) were included. The heart rate, the heart rate variability, the respiratory frequency and the masseter tone were monitored as biometrical parameters by the surgeons during the whole surgery for the quantification of mental demand. Stress situations could be identified during the procedures by an increase in the heart rate and a decrease in the heart rate variability. Stress level in procedures with navigation did not significantly differ from procedures without navigation. Interestingly, in 10 % of the cases a navigation system would have been helpful, although the surgeon stated before the procedure that such a system would not be necessary. Other stressors could be identified like time pressure, students or colleagues speaking with the surgeon or chatting in the OR and system failure of medical devices, i.e. navigation, sinus drill, electrocautery or shaver. Surgical stressors blurred vision due to diffuse bleeding and drill out procedures in the sphenoid sinus. Calming situations were a quiet atmosphere in the OR (i.e. closed doors) and the participation of another experienced colleague, especially a neurosurgeon. Stress situations occur when complex medical devices like the navigation do not work. For their proper function it is important that the whole OR-team is trained with it. Unqualified or unmotivated OR personnel create stress for the surgeon and disharmony in the team, which then ends in inadequate behaviour.","author":[{"dropping-particle":"","family":"Stelter","given":"K.","non-dropping-particle":"","parse-names":false,"suffix":""},{"dropping-particle":"","family":"Theodoraki","given":"M. N.","non-dropping-particle":"","parse-names":false,"suffix":""},{"dropping-particle":"","family":"Becker","given":"S.","non-dropping-particle":"","parse-names":false,"suffix":""},{"dropping-particle":"","family":"Tsekmistrenko","given":"V.","non-dropping-particle":"","parse-names":false,"suffix":""},{"dropping-particle":"","family":"Olzowy","given":"B.","non-dropping-particle":"","parse-names":false,"suffix":""},{"dropping-particle":"","family":"Ledderose","given":"G.","non-dropping-particle":"","parse-names":false,"suffix":""}],"container-title":"European Archives of Oto-Rhino-Laryngology","id":"ITEM-1","issue":"3","issued":{"date-parts":[["2015"]]},"page":"631-638","title":"Specific stressors in endonasal skull base surgery with and without navigation","type":"article-journal","volume":"272"},"uris":["http://www.mendeley.com/documents/?uuid=5adb53ed-c5be-4377-bd9b-0eea1533cdea"]}],"mendeley":{"formattedCitation":"(62)","plainTextFormattedCitation":"(62)","previouslyFormattedCitation":"(62)"},"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(62)</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27DA6600" w14:textId="77777777" w:rsidR="00D724F8" w:rsidRPr="000609DF" w:rsidRDefault="00D724F8" w:rsidP="005A1E56">
            <w:pPr>
              <w:spacing w:after="0" w:line="240" w:lineRule="auto"/>
              <w:rPr>
                <w:rFonts w:ascii="Arial" w:eastAsia="Times New Roman" w:hAnsi="Arial" w:cs="Arial"/>
                <w:color w:val="000000"/>
                <w:sz w:val="16"/>
                <w:szCs w:val="16"/>
                <w:lang w:eastAsia="es-ES"/>
              </w:rPr>
            </w:pPr>
            <w:proofErr w:type="spellStart"/>
            <w:r w:rsidRPr="70FF01BB">
              <w:rPr>
                <w:rFonts w:ascii="Arial" w:eastAsia="Times New Roman" w:hAnsi="Arial" w:cs="Arial"/>
                <w:color w:val="000000" w:themeColor="text1"/>
                <w:sz w:val="16"/>
                <w:szCs w:val="16"/>
              </w:rPr>
              <w:t>Stelter</w:t>
            </w:r>
            <w:proofErr w:type="spellEnd"/>
            <w:r w:rsidRPr="70FF01BB">
              <w:rPr>
                <w:rFonts w:ascii="Arial" w:eastAsia="Times New Roman" w:hAnsi="Arial" w:cs="Arial"/>
                <w:color w:val="000000" w:themeColor="text1"/>
                <w:sz w:val="16"/>
                <w:szCs w:val="16"/>
              </w:rPr>
              <w:t xml:space="preserve"> et al., 2015</w:t>
            </w:r>
          </w:p>
        </w:tc>
        <w:tc>
          <w:tcPr>
            <w:tcW w:w="1931" w:type="dxa"/>
            <w:tcBorders>
              <w:top w:val="nil"/>
              <w:left w:val="single" w:sz="8" w:space="0" w:color="auto"/>
              <w:bottom w:val="single" w:sz="4" w:space="0" w:color="auto"/>
              <w:right w:val="single" w:sz="4" w:space="0" w:color="auto"/>
            </w:tcBorders>
            <w:noWrap/>
            <w:vAlign w:val="bottom"/>
            <w:hideMark/>
          </w:tcPr>
          <w:p w14:paraId="0087CDC5"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High</w:t>
            </w:r>
          </w:p>
        </w:tc>
        <w:tc>
          <w:tcPr>
            <w:tcW w:w="1269" w:type="dxa"/>
            <w:tcBorders>
              <w:top w:val="nil"/>
              <w:left w:val="single" w:sz="8" w:space="0" w:color="auto"/>
              <w:bottom w:val="single" w:sz="4" w:space="0" w:color="auto"/>
              <w:right w:val="single" w:sz="4" w:space="0" w:color="auto"/>
            </w:tcBorders>
            <w:noWrap/>
            <w:vAlign w:val="bottom"/>
            <w:hideMark/>
          </w:tcPr>
          <w:p w14:paraId="74EDA1C8"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5B645DBB"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42" w:type="dxa"/>
            <w:tcBorders>
              <w:top w:val="nil"/>
              <w:left w:val="single" w:sz="8" w:space="0" w:color="auto"/>
              <w:bottom w:val="single" w:sz="4" w:space="0" w:color="auto"/>
              <w:right w:val="single" w:sz="4" w:space="0" w:color="auto"/>
            </w:tcBorders>
            <w:noWrap/>
            <w:vAlign w:val="bottom"/>
            <w:hideMark/>
          </w:tcPr>
          <w:p w14:paraId="346CBFDA"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701" w:type="dxa"/>
            <w:tcBorders>
              <w:top w:val="nil"/>
              <w:left w:val="single" w:sz="8" w:space="0" w:color="auto"/>
              <w:bottom w:val="single" w:sz="4" w:space="0" w:color="auto"/>
              <w:right w:val="single" w:sz="4" w:space="0" w:color="auto"/>
            </w:tcBorders>
            <w:noWrap/>
            <w:vAlign w:val="bottom"/>
            <w:hideMark/>
          </w:tcPr>
          <w:p w14:paraId="4B08DDC5"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2E30A4A9"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5372EC" w14:paraId="2C2BB330" w14:textId="77777777" w:rsidTr="005A1E56">
        <w:trPr>
          <w:trHeight w:val="288"/>
        </w:trPr>
        <w:tc>
          <w:tcPr>
            <w:tcW w:w="983" w:type="dxa"/>
            <w:tcBorders>
              <w:top w:val="nil"/>
              <w:left w:val="single" w:sz="8" w:space="0" w:color="auto"/>
              <w:bottom w:val="single" w:sz="4" w:space="0" w:color="auto"/>
              <w:right w:val="single" w:sz="4" w:space="0" w:color="auto"/>
            </w:tcBorders>
          </w:tcPr>
          <w:p w14:paraId="2A34E000"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{"citationItems":[{"id":"ITEM-1","itemData":{"DOI":"10.1007/s00405-014-3194-0","ISSN":"14344726","PMID":"25007736","abstract":"The use of image-guided navigation systems in the training of FESS is discussed controversy. Many experienced sinus surgeons report a better spatial orientation and an improved situational awareness intraoperatively. But many fear that the navigation system could be a disadvantage in the surgical training because of a higher mental demand and a possible loss of surgical skills. This clinical field study investigates mental and physical demands during transnasal surgery with and without the aid of a navigation system at an early stage in FESS training. Thirty-two endonasal sinus surgeries done by eight different trainee surgeons were included. After randomization, one side of each patient was operated by use of a navigation system, the other side without. During the whole surgery, the surgeons were connected to a biofeedback device measuring the heart rate, the heart rate variability, the respiratory frequency and the masticator EMG. Stress situations could be identified by an increase of the heart rate frequency and a decrease of the heart rate variability. The mental workload during a FESS procedure is high compared to the baseline before and after surgery. The mental workload level when using the navigation did not significantly differ from the side without using the navigation. Residents with more than 30 FESS procedures already done, showed a slightly decreased mental workload when using the navigation. An additional workload shift toward the navigation system could not be observed in any surgeon. Remarkable other stressors could be identified during this study: the behavior of the supervisor or the use of the 45° endoscope, other colleagues or students entering the theatre, poor vision due to bleeding and the preoperative waiting when measuring the baseline. The mental load of young surgeons in FESS surgery is tremendous. The application of a navigation system did not cause a higher mental workload or distress. The device showed a positive effort to engage for the trainees with more than 30 FESS procedures done. In this subgroup it even leads to decreased mental workload.","author":[{"dropping-particle":"","family":"Theodoraki","given":"M. N.","non-dropping-particle":"","parse-names":false,"suffix":""},{"dropping-particle":"","family":"Ledderose","given":"G. J.","non-dropping-particle":"","parse-names":false,"suffix":""},{"dropping-particle":"","family":"Becker","given":"S.","non-dropping-particle":"","parse-names":false,"suffix":""},{"dropping-particle":"","family":"Leunig","given":"A.","non-dropping-particle":"","parse-names":false,"suffix":""},{"dropping-particle":"","family":"Arpe","given":"S.","non-dropping-particle":"","parse-names":false,"suffix":""},{"dropping-particle":"","family":"Luz","given":"M.","non-dropping-particle":"","parse-names":false,"suffix":""},{"dropping-particle":"","family":"Stelter","given":"K.","non-dropping-particle":"","parse-names":false,"suffix":""}],"container-title":"European Archives of Oto-Rhino-Laryngology","id":"ITEM-1","issue":"4","issued":{"date-parts":[["2015"]]},"page":"905-913","title":"Mental distress and effort to engage an image-guided navigation system in the surgical training of endoscopic sinus surgery: a prospective, randomised clinical trial","type":"article-journal","volume":"272"},"uris":["http://www.mendeley.com/documents/?uuid=6d55d003-ad83-4f19-85a6-e7dc8c809059"]}],"mendeley":{"formattedCitation":"(63)","plainTextFormattedCitation":"(63)","previouslyFormattedCitation":"(63)"},"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(63)</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49821B7E" w14:textId="77777777" w:rsidR="00D724F8" w:rsidRPr="005372EC" w:rsidRDefault="00D724F8" w:rsidP="005A1E56">
            <w:pPr>
              <w:spacing w:after="0" w:line="240" w:lineRule="auto"/>
              <w:rPr>
                <w:rFonts w:ascii="Arial" w:eastAsia="Times New Roman" w:hAnsi="Arial" w:cs="Arial"/>
                <w:color w:val="000000"/>
                <w:sz w:val="16"/>
                <w:szCs w:val="16"/>
                <w:lang w:eastAsia="es-ES"/>
              </w:rPr>
            </w:pPr>
            <w:proofErr w:type="spellStart"/>
            <w:r w:rsidRPr="70FF01BB">
              <w:rPr>
                <w:rFonts w:ascii="Arial" w:eastAsia="Times New Roman" w:hAnsi="Arial" w:cs="Arial"/>
                <w:color w:val="000000" w:themeColor="text1"/>
                <w:sz w:val="16"/>
                <w:szCs w:val="16"/>
              </w:rPr>
              <w:t>Theodoraki</w:t>
            </w:r>
            <w:proofErr w:type="spellEnd"/>
            <w:r w:rsidRPr="70FF01BB">
              <w:rPr>
                <w:rFonts w:ascii="Arial" w:eastAsia="Times New Roman" w:hAnsi="Arial" w:cs="Arial"/>
                <w:color w:val="000000" w:themeColor="text1"/>
                <w:sz w:val="16"/>
                <w:szCs w:val="16"/>
              </w:rPr>
              <w:t xml:space="preserve"> et al., 2015</w:t>
            </w:r>
          </w:p>
        </w:tc>
        <w:tc>
          <w:tcPr>
            <w:tcW w:w="1931" w:type="dxa"/>
            <w:tcBorders>
              <w:top w:val="nil"/>
              <w:left w:val="single" w:sz="8" w:space="0" w:color="auto"/>
              <w:bottom w:val="single" w:sz="4" w:space="0" w:color="auto"/>
              <w:right w:val="single" w:sz="4" w:space="0" w:color="auto"/>
            </w:tcBorders>
            <w:noWrap/>
            <w:vAlign w:val="bottom"/>
            <w:hideMark/>
          </w:tcPr>
          <w:p w14:paraId="1F659328"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269" w:type="dxa"/>
            <w:tcBorders>
              <w:top w:val="nil"/>
              <w:left w:val="single" w:sz="8" w:space="0" w:color="auto"/>
              <w:bottom w:val="single" w:sz="4" w:space="0" w:color="auto"/>
              <w:right w:val="single" w:sz="4" w:space="0" w:color="auto"/>
            </w:tcBorders>
            <w:noWrap/>
            <w:vAlign w:val="bottom"/>
            <w:hideMark/>
          </w:tcPr>
          <w:p w14:paraId="16CB2BF7"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0B6272AF"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5AD64FC8"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6ABF8BF0"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51685FB0"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0609DF" w14:paraId="4A766CFE" w14:textId="77777777" w:rsidTr="005A1E56">
        <w:trPr>
          <w:trHeight w:val="288"/>
        </w:trPr>
        <w:tc>
          <w:tcPr>
            <w:tcW w:w="983" w:type="dxa"/>
            <w:tcBorders>
              <w:top w:val="nil"/>
              <w:left w:val="single" w:sz="8" w:space="0" w:color="auto"/>
              <w:bottom w:val="single" w:sz="4" w:space="0" w:color="auto"/>
              <w:right w:val="single" w:sz="4" w:space="0" w:color="auto"/>
            </w:tcBorders>
          </w:tcPr>
          <w:p w14:paraId="23860085"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{"citationItems":[{"id":"ITEM-1","itemData":{"DOI":"10.1007/s00464-014-3683-7","ISSN":"14322218","PMID":"25125094","abstract":"Introduction: Various fields have used gaze behaviour to evaluate task proficiency. This may also apply to surgery for the assessment of technical skill, but has not previously been explored in live surgery. The aim was to assess differences in gaze behaviour between expert and junior surgeons during open inguinal hernia repair. Methods: Gaze behaviour of expert and junior surgeons (defined by operative experience) performing the operation was recorded using eye-tracking glasses (SMI Eye Tracking Glasses 2.0, SensoMotoric Instruments, Germany). Primary endpoints were fixation frequency (steady eye gaze rate) and dwell time (fixation and saccades duration) and were analysed for designated areas of interest in the subject’s visual field. Secondary endpoints were maximum pupil size, pupil rate of change (change frequency in pupil size) and pupil entropy (predictability of pupil change). NASA TLX scale measured perceived workload. Recorded metrics were compared between groups for the entire procedure and for comparable procedural segments. Results: Twenty-five cases were recorded, with 13 operations analysed, from 9 surgeons giving 630 min of data, recorded at 30 Hz. Experts demonstrated higher fixation frequency (median[IQR] 1.86 [0.3] vs 0.96 [0.3]; P = 0.006) and dwell time on the operative site during application of mesh (792 [159] vs 469 [109] s; P = 0.028), closure of the external oblique (1.79 [0.2] vs 1.20 [0.6]; P = 0.003) (625 [154] vs 448 [147] s; P = 0.032) and dwelled more on the sterile field during cutting of mesh (716 [173] vs 268 [297] s; P = 0.019). NASA TLX scores indicated experts found the procedure less mentally demanding than juniors (3 [2] vs 12 [5.2]; P = 0.038). No subjects reported problems with wearing of the device, or obstruction of view. Conclusion: Use of portable eye-tracking technology in open surgery is feasible, without impinging surgical performance. Differences in gaze behaviour during open inguinal hernia repair can be seen between expert and junior surgeons and may have uses for assessment of surgical skill.","author":[{"dropping-particle":"","family":"Tien","given":"Tony","non-dropping-particle":"","parse-names":false,"suffix":""},{"dropping-particle":"","family":"Pucher","given":"Philip H.","non-dropping-particle":"","parse-names":false,"suffix":""},{"dropping-particle":"","family":"Sodergren","given":"Mikael H.","non-dropping-particle":"","parse-names":false,"suffix":""},{"dropping-particle":"","family":"Sriskandarajah","given":"Kumuthan","non-dropping-particle":"","parse-names":false,"suffix":""},{"dropping-particle":"","family":"Yang","given":"Guang Zhong","non-dropping-particle":"","parse-names":false,"suffix":""},{"dropping-particle":"","family":"Darzi","given":"Ara","non-dropping-particle":"","parse-names":false,"suffix":""}],"container-title":"Surgical Endoscopy","id":"ITEM-1","issue":"2","issued":{"date-parts":[["2015"]]},"page":"405-413","title":"Differences in gaze behaviour of expert and junior surgeons performing open inguinal hernia repair","type":"article-journal","volume":"29"},"uris":["http://www.mendeley.com/documents/?uuid=f0a35c0f-a978-412b-b1fa-f9f7d2f9a159"]}],"mendeley":{"formattedCitation":"(100)","plainTextFormattedCitation":"(100)","previouslyFormattedCitation":"(100)"},"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(100)</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66CEBE1D"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Tien et al., 2015</w:t>
            </w:r>
          </w:p>
        </w:tc>
        <w:tc>
          <w:tcPr>
            <w:tcW w:w="1931" w:type="dxa"/>
            <w:tcBorders>
              <w:top w:val="nil"/>
              <w:left w:val="single" w:sz="8" w:space="0" w:color="auto"/>
              <w:bottom w:val="single" w:sz="4" w:space="0" w:color="auto"/>
              <w:right w:val="single" w:sz="4" w:space="0" w:color="auto"/>
            </w:tcBorders>
            <w:noWrap/>
            <w:vAlign w:val="bottom"/>
            <w:hideMark/>
          </w:tcPr>
          <w:p w14:paraId="24604989"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1CF1CEEF"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039C6937"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227D13E9"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33719C93"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28907F75"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Some concerns</w:t>
            </w:r>
          </w:p>
        </w:tc>
      </w:tr>
      <w:tr w:rsidR="00D724F8" w:rsidRPr="005372EC" w14:paraId="2AC9606B" w14:textId="77777777" w:rsidTr="005A1E56">
        <w:trPr>
          <w:trHeight w:val="288"/>
        </w:trPr>
        <w:tc>
          <w:tcPr>
            <w:tcW w:w="983" w:type="dxa"/>
            <w:tcBorders>
              <w:top w:val="nil"/>
              <w:left w:val="single" w:sz="8" w:space="0" w:color="auto"/>
              <w:bottom w:val="single" w:sz="4" w:space="0" w:color="auto"/>
              <w:right w:val="single" w:sz="4" w:space="0" w:color="auto"/>
            </w:tcBorders>
          </w:tcPr>
          <w:p w14:paraId="3C401CAC"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{"citationItems":[{"id":"ITEM-1","itemData":{"DOI":"10.1177/1541931215591109","ISBN":"9780945289470","ISSN":"10711813","abstract":"Surgical trainees undergo demanding training to achieve high surgical task proficiency. Abounding clinical and educational responsibilities mandate efficient and effective training. This research measured resident workload during laparoscopic skills training to identify excessive workload and how workload impacted task performance. Twenty-eight surgical trainees performed a standardized surgical training task and completed a workload questionnaire while observers measured physiological stress, posture risk assessment, and task performance. Participants self-reported mental demands, physical demands, temporal demands, performance, effort, and frustration. Effort (12±4) and frustration (12±5) were the highest subscales while physical demand (8±4) was the lowest. All participants were observed performing the task in at-risk postures, with 21% exhibiting risk levels requiring immediate intervention. Physical demand was associated with posture risk assessment scores (p&lt;0.05). Mental demand was positively (R2=0.20, p&lt;0.05) and frustration was negatively (R2=0.18, p&lt;0.05) associated with skin conductance range. A point increase in physical demand was associated with a six second increase in performance time (β=6.0, p=0.01). These results support the fact that human factors and ergonomic tools can be used to relate surgical skills performance with workload, stress, and posture risks.","author":[{"dropping-particle":"","family":"Yu","given":"Denny","non-dropping-particle":"","parse-names":false,"suffix":""},{"dropping-particle":"","family":"Abdelrahman","given":"Amro M.","non-dropping-particle":"","parse-names":false,"suffix":""},{"dropping-particle":"","family":"Buckarma","given":"Eeeln H.","non-dropping-particle":"","parse-names":false,"suffix":""},{"dropping-particle":"","family":"Lowndes","given":"Bethany R.","non-dropping-particle":"","parse-names":false,"suffix":""},{"dropping-particle":"","family":"Gas","given":"Becca L.","non-dropping-particle":"","parse-names":false,"suffix":""},{"dropping-particle":"","family":"Finnesgard","given":"Eric J.","non-dropping-particle":"","parse-names":false,"suffix":""},{"dropping-particle":"","family":"Abdelsattar","given":"Jad M.","non-dropping-particle":"","parse-names":false,"suffix":""},{"dropping-particle":"","family":"Pandian","given":"T. K.","non-dropping-particle":"","parse-names":false,"suffix":""},{"dropping-particle":"","family":"Khatib","given":"Moustafa","non-dropping-particle":"El","parse-names":false,"suffix":""},{"dropping-particle":"","family":"Farley","given":"David R.","non-dropping-particle":"","parse-names":false,"suffix":""},{"dropping-particle":"","family":"Hallbeck","given":"Susan","non-dropping-particle":"","parse-names":false,"suffix":""}],"container-title":"Proceedings of the Human Factors and Ergonomics Society","id":"ITEM-1","issue":"1","issued":{"date-parts":[["2015"]]},"page":"508-512","title":"Mental and physical workloads in a competitive laparoscopic skills training environment: A pilot study","type":"article-journal","volume":"59"},"uris":["http://www.mendeley.com/documents/?uuid=bce99f1c-02c7-4f52-98f4-75f365895360"]}],"mendeley":{"formattedCitation":"(93)","plainTextFormattedCitation":"(93)","previouslyFormattedCitation":"(93)"},"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(93)</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0298C882"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Yu et al., 2015</w:t>
            </w:r>
          </w:p>
        </w:tc>
        <w:tc>
          <w:tcPr>
            <w:tcW w:w="1931" w:type="dxa"/>
            <w:tcBorders>
              <w:top w:val="nil"/>
              <w:left w:val="single" w:sz="8" w:space="0" w:color="auto"/>
              <w:bottom w:val="single" w:sz="4" w:space="0" w:color="auto"/>
              <w:right w:val="single" w:sz="4" w:space="0" w:color="auto"/>
            </w:tcBorders>
            <w:noWrap/>
            <w:vAlign w:val="bottom"/>
            <w:hideMark/>
          </w:tcPr>
          <w:p w14:paraId="3A50C46C"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High</w:t>
            </w:r>
          </w:p>
        </w:tc>
        <w:tc>
          <w:tcPr>
            <w:tcW w:w="1269" w:type="dxa"/>
            <w:tcBorders>
              <w:top w:val="nil"/>
              <w:left w:val="single" w:sz="8" w:space="0" w:color="auto"/>
              <w:bottom w:val="single" w:sz="4" w:space="0" w:color="auto"/>
              <w:right w:val="single" w:sz="4" w:space="0" w:color="auto"/>
            </w:tcBorders>
            <w:noWrap/>
            <w:vAlign w:val="bottom"/>
            <w:hideMark/>
          </w:tcPr>
          <w:p w14:paraId="478C289F"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66FF2DE2"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High</w:t>
            </w:r>
          </w:p>
        </w:tc>
        <w:tc>
          <w:tcPr>
            <w:tcW w:w="1842" w:type="dxa"/>
            <w:tcBorders>
              <w:top w:val="nil"/>
              <w:left w:val="single" w:sz="8" w:space="0" w:color="auto"/>
              <w:bottom w:val="single" w:sz="4" w:space="0" w:color="auto"/>
              <w:right w:val="single" w:sz="4" w:space="0" w:color="auto"/>
            </w:tcBorders>
            <w:noWrap/>
            <w:vAlign w:val="bottom"/>
            <w:hideMark/>
          </w:tcPr>
          <w:p w14:paraId="669013F0"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High</w:t>
            </w:r>
          </w:p>
        </w:tc>
        <w:tc>
          <w:tcPr>
            <w:tcW w:w="1701" w:type="dxa"/>
            <w:tcBorders>
              <w:top w:val="nil"/>
              <w:left w:val="single" w:sz="8" w:space="0" w:color="auto"/>
              <w:bottom w:val="single" w:sz="4" w:space="0" w:color="auto"/>
              <w:right w:val="single" w:sz="4" w:space="0" w:color="auto"/>
            </w:tcBorders>
            <w:noWrap/>
            <w:vAlign w:val="bottom"/>
            <w:hideMark/>
          </w:tcPr>
          <w:p w14:paraId="4059BA0D"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4D4352B9"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Some concerns</w:t>
            </w:r>
          </w:p>
        </w:tc>
      </w:tr>
      <w:tr w:rsidR="00D724F8" w:rsidRPr="005372EC" w14:paraId="63D9B4CC" w14:textId="77777777" w:rsidTr="005A1E56">
        <w:trPr>
          <w:trHeight w:val="288"/>
        </w:trPr>
        <w:tc>
          <w:tcPr>
            <w:tcW w:w="983" w:type="dxa"/>
            <w:tcBorders>
              <w:top w:val="nil"/>
              <w:left w:val="single" w:sz="8" w:space="0" w:color="auto"/>
              <w:bottom w:val="single" w:sz="4" w:space="0" w:color="auto"/>
              <w:right w:val="single" w:sz="4" w:space="0" w:color="auto"/>
            </w:tcBorders>
          </w:tcPr>
          <w:p w14:paraId="0A84C137"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{"citationItems":[{"id":"ITEM-1","itemData":{"DOI":"10.1007/s00464-014-3967-y","ISSN":"14322218","PMID":"25427414","abstract":"Background: Research has demonstrated the benefits of robotic surgery for the patient; however, research examining the benefits of robotic technology for the surgeon is limited. This study aimed to adopt validated measures of workload, mental effort, and gaze control to assess the benefits of robotic surgery for the surgeon. We predicted that the performance of surgical training tasks on a surgical robot would require lower investments of workload and mental effort, and would be accompanied by superior gaze control and better performance, when compared to conventional laparoscopy. Methods: Thirty-two surgeons performed two trials on a ball pick-and-drop task and a rope-threading task on both robotic and laparoscopic systems. Measures of workload (the surgery task load index), mental effort (subjective: rating scale for mental effort and objective: standard deviation of beat-to-beat intervals), gaze control (using a mobile eye movement recorder), and task performance (completion time and number of errors) were recorded. Results: As expected, surgeons performed both tasks more quickly and accurately (with fewer errors) on the robotic system. Self-reported measures of workload and mental effort were significantly lower on the robotic system compared to the laparoscopic system. Similarly, an objective cardiovascular measure of mental effort revealed lower investment of mental effort when using the robotic platform relative to the laparoscopic platform. Gaze control distinguished the robotic from the laparoscopic systems, but not in the predicted fashion, with the robotic system associated with poorer (more novice like) gaze control. Conclusions: The findings highlight the benefits of robotic technology for surgical operators. Specifically, they suggest that tasks can be performed more proficiently, at a lower workload, and with the investment of less mental effort, this may allow surgeons greater cognitive resources for dealing with other demands such as communication, decision-making, or periods of increased complexity in the operating room.","author":[{"dropping-particle":"","family":"Moore","given":"Lee J.","non-dropping-particle":"","parse-names":false,"suffix":""},{"dropping-particle":"","family":"Wilson","given":"Mark R.","non-dropping-particle":"","parse-names":false,"suffix":""},{"dropping-particle":"","family":"McGrath","given":"John S.","non-dropping-particle":"","parse-names":false,"suffix":""},{"dropping-particle":"","family":"Waine","given":"Elizabeth","non-dropping-particle":"","parse-names":false,"suffix":""},{"dropping-particle":"","family":"Masters","given":"Rich S.W.","non-dropping-particle":"","parse-names":false,"suffix":""},{"dropping-particle":"","family":"Vine","given":"Samuel J.","non-dropping-particle":"","parse-names":false,"suffix":""}],"container-title":"Surgical Endoscopy","id":"ITEM-1","issue":"9","issued":{"date-parts":[["2015"]]},"page":"2553-2560","title":"Surgeons’ display reduced mental effort and workload while performing robotically assisted surgical tasks, when compared to conventional laparoscopy","type":"article-journal","volume":"29"},"uris":["http://www.mendeley.com/documents/?uuid=3082ec21-944e-4d15-9e68-83a7f05bc99c"]}],"mendeley":{"formattedCitation":"(103)","plainTextFormattedCitation":"(103)","previouslyFormattedCitation":"(103)"},"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(103)</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21F51461"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Moore et al., 2015</w:t>
            </w:r>
          </w:p>
        </w:tc>
        <w:tc>
          <w:tcPr>
            <w:tcW w:w="1931" w:type="dxa"/>
            <w:tcBorders>
              <w:top w:val="nil"/>
              <w:left w:val="single" w:sz="8" w:space="0" w:color="auto"/>
              <w:bottom w:val="single" w:sz="4" w:space="0" w:color="auto"/>
              <w:right w:val="single" w:sz="4" w:space="0" w:color="auto"/>
            </w:tcBorders>
            <w:noWrap/>
            <w:vAlign w:val="bottom"/>
            <w:hideMark/>
          </w:tcPr>
          <w:p w14:paraId="521B85F5"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04EEF51A"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5E3DABE7"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7EF8A55D"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23ECE8EF"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52B0CDF3"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Some concerns</w:t>
            </w:r>
          </w:p>
        </w:tc>
      </w:tr>
      <w:tr w:rsidR="00D724F8" w:rsidRPr="005372EC" w14:paraId="2CC2A756" w14:textId="77777777" w:rsidTr="005A1E56">
        <w:trPr>
          <w:trHeight w:val="288"/>
        </w:trPr>
        <w:tc>
          <w:tcPr>
            <w:tcW w:w="983" w:type="dxa"/>
            <w:tcBorders>
              <w:top w:val="nil"/>
              <w:left w:val="single" w:sz="8" w:space="0" w:color="auto"/>
              <w:bottom w:val="single" w:sz="4" w:space="0" w:color="auto"/>
              <w:right w:val="single" w:sz="4" w:space="0" w:color="auto"/>
            </w:tcBorders>
          </w:tcPr>
          <w:p w14:paraId="31F9E7ED"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{"citationItems":[{"id":"ITEM-1","itemData":{"DOI":"10.1007/s00464-014-3899-6","ISSN":"14322218","PMID":"25303917","abstract":"Background: Working in the operating room is characterized by high demands and overall workload of the surgical team. Surgeons often report that they feel more stressed when operating as a primary surgeon than in the function as an assistant which has been confirmed in recent studies. In this study, intra-individual workload was assessed in both intraoperative functions using a multidimensional approach that combined objective and subjective measures in a realistic work setting. Methods: Surgeons’ intraoperative psychophysiologic workload was assessed through a mobile health system. 25 surgeons agreed to take part in the 24-hour monitoring by giving their written informed consent. The mobile health system contained a sensor electronic module integrated in a chest belt and measuring physiological parameters such as heart rate (HR), breathing rate (BR), and skin temperature. Subjective workload was assessed pre- and postoperatively using an electronic version of the NASA-TLX on a smartphone. The smartphone served as a communication unit and transferred objective and subjective measures to a communication server where data were stored and analyzed. Results: Working as a primary surgeon did not result in higher workload. Neither NASA-TLX ratings nor physiological workload indicators were related to intraoperative function. In contrast, length of surgeries had a significant impact on intraoperative physical demands (p &lt; 0.05; η2 = 0.283), temporal demands (p &lt; 0.05; η2 = 0.260), effort (p &lt; 0.05; η2 = 0.287), and NASA-TLX sum score (p &lt; 0.01; η2 = 0.287). Conclusions: Intra-individual workload differences do not relate to intraoperative role of surgeons when length of surgery is considered as covariate. An intelligent operating management that considers the length of surgeries by implementing short breaks could contribute to the optimization of intraoperative workload and the preservation of surgeons’ health, respectively. The value of mobile health systems for continuous psychophysiologic workload assessment was shown.","author":[{"dropping-particle":"","family":"Rieger","given":"Annika","non-dropping-particle":"","parse-names":false,"suffix":""},{"dropping-particle":"","family":"Fenger","given":"Sebastian","non-dropping-particle":"","parse-names":false,"suffix":""},{"dropping-particle":"","family":"Neubert","given":"Sebastian","non-dropping-particle":"","parse-names":false,"suffix":""},{"dropping-particle":"","family":"Weippert","given":"Matthias","non-dropping-particle":"","parse-names":false,"suffix":""},{"dropping-particle":"","family":"Kreuzfeld","given":"Steffi","non-dropping-particle":"","parse-names":false,"suffix":""},{"dropping-particle":"","family":"Stoll","given":"Regina","non-dropping-particle":"","parse-names":false,"suffix":""}],"container-title":"Surgical Endoscopy","id":"ITEM-1","issue":"7","issued":{"date-parts":[["2015"]]},"page":"1990-1998","title":"Psychophysical workload in the operating room: primary surgeon versus assistant","type":"article-journal","volume":"29"},"uris":["http://www.mendeley.com/documents/?uuid=e8d2fcc9-2eff-4bca-8e26-a1852bfb8dd1"]}],"mendeley":{"formattedCitation":"(64)","plainTextFormattedCitation":"(64)","previouslyFormattedCitation":"(64)"},"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(64)</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5B434590"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Rieger et al., 2015</w:t>
            </w:r>
          </w:p>
        </w:tc>
        <w:tc>
          <w:tcPr>
            <w:tcW w:w="1931" w:type="dxa"/>
            <w:tcBorders>
              <w:top w:val="nil"/>
              <w:left w:val="single" w:sz="8" w:space="0" w:color="auto"/>
              <w:bottom w:val="single" w:sz="4" w:space="0" w:color="auto"/>
              <w:right w:val="single" w:sz="4" w:space="0" w:color="auto"/>
            </w:tcBorders>
            <w:noWrap/>
            <w:vAlign w:val="bottom"/>
            <w:hideMark/>
          </w:tcPr>
          <w:p w14:paraId="3ED096AE"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6331643B"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78DF0F29"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20558F08"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0D5CF88E"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42B82079"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Some concerns</w:t>
            </w:r>
          </w:p>
        </w:tc>
      </w:tr>
      <w:tr w:rsidR="00D724F8" w:rsidRPr="005372EC" w14:paraId="0CE8F264" w14:textId="77777777" w:rsidTr="005A1E56">
        <w:trPr>
          <w:trHeight w:val="288"/>
        </w:trPr>
        <w:tc>
          <w:tcPr>
            <w:tcW w:w="983" w:type="dxa"/>
            <w:tcBorders>
              <w:top w:val="nil"/>
              <w:left w:val="single" w:sz="8" w:space="0" w:color="auto"/>
              <w:bottom w:val="single" w:sz="4" w:space="0" w:color="auto"/>
              <w:right w:val="single" w:sz="4" w:space="0" w:color="auto"/>
            </w:tcBorders>
          </w:tcPr>
          <w:p w14:paraId="429A5EDD"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{"citationItems":[{"id":"ITEM-1","itemData":{"DOI":"10.1016/j.jss.2016.07.019","ISSN":"10958673","PMID":"27916362","abstract":"Background Stress has been shown to negatively impact surgical performance, and surgical novices are particularly susceptible to its effects. Mental skills are psychological strategies designed to enhance performance and reduce the impact of stress to consistently facilitate the ideal mental conditions that enable performers to perform their best. Mental skills have been used routinely in other high-stress domains (e.g., with Navy SEALs, military pilots, elite athletes, and so forth) to facilitate optimal performance in challenging situations. We have developed a novel mental skills curriculum (MSC) to aid surgical trainees in optimizing their performance under stressful conditions. The purpose of this study was to determine the effectiveness of this MSC in reducing novices' stress. Methods The MSC was implemented with a convenience sample of surgical novices over 8 wk. Two stress tests were administered before and after completion of the MSC to assess its effectiveness in reducing trainee stress. The Trier Social Stress Test (TSST) is a validated method of measuring participants' stress responses; it was implemented by giving participants 10 min to prepare for an impromptu presentation and 5 min to present it in front of a medical education expert who would be assessing them. The O'Connor Tweezer Dexterity Test (OTDT) is a test of fine motor dexterity; participants competed against each other in small groups who would complete the test the fastest. Such competition has been shown to cause acute stress in performers. To assess stress, heart rate (HR), perceived stress (STAI-6), and perceived workload (NASA-TLX) were completed during all testing sessions. Results Nine novices (age 23 ± 7 y, 55% women) completed the MSC. HR increased significantly from resting to performance during the TSST and from early during competition (at 2 min and 30 s of elapsed time) to immediately after completing the task. However, participants perceived less stress during and immediately after the TSST and OTDT tests (P &lt; 0.05) after completion of the MSC. In addition, they reported significantly less workload during the second OTDT administration (P &lt; 0.05) and showed a trend toward faster completion of this test. Conclusions The novel MSC was effective at reducing surgical novices' perceived stress and workload during two comprehensive stress tests. Although not statistically significant, participant's enhanced performance during the OTDT is encouraging. This curriculum may …","author":[{"dropping-particle":"","family":"Anton","given":"Nicholas E.","non-dropping-particle":"","parse-names":false,"suffix":""},{"dropping-particle":"","family":"Howley","given":"Lisa D.","non-dropping-particle":"","parse-names":false,"suffix":""},{"dropping-particle":"","family":"Pimentel","given":"Manuel","non-dropping-particle":"","parse-names":false,"suffix":""},{"dropping-particle":"","family":"Davis","given":"Cameron K.","non-dropping-particle":"","parse-names":false,"suffix":""},{"dropping-particle":"","family":"Brown","given":"Charles","non-dropping-particle":"","parse-names":false,"suffix":""},{"dropping-particle":"","family":"Stefanidis","given":"Dimitrios","non-dropping-particle":"","parse-names":false,"suffix":""}],"container-title":"Journal of Surgical Research","id":"ITEM-1","issue":"1","issued":{"date-parts":[["2016"]]},"page":"199-205","title":"Effectiveness of a mental skills curriculum to reduce novices' stress","type":"article-journal","volume":"206"},"uris":["http://www.mendeley.com/documents/?uuid=c204ab46-faa3-4f4f-9f38-b51fb6f0f65c"]}],"mendeley":{"formattedCitation":"(60)","plainTextFormattedCitation":"(60)","previouslyFormattedCitation":"(60)"},"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(60)</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37362F35"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Anton et al., 2016</w:t>
            </w:r>
          </w:p>
        </w:tc>
        <w:tc>
          <w:tcPr>
            <w:tcW w:w="1931" w:type="dxa"/>
            <w:tcBorders>
              <w:top w:val="nil"/>
              <w:left w:val="single" w:sz="8" w:space="0" w:color="auto"/>
              <w:bottom w:val="single" w:sz="4" w:space="0" w:color="auto"/>
              <w:right w:val="single" w:sz="4" w:space="0" w:color="auto"/>
            </w:tcBorders>
            <w:noWrap/>
            <w:vAlign w:val="bottom"/>
            <w:hideMark/>
          </w:tcPr>
          <w:p w14:paraId="34BDE5D0"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74262311"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761C4074"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34E196F4"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4D68EF5F"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4DB3FC75"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Some concerns</w:t>
            </w:r>
          </w:p>
        </w:tc>
      </w:tr>
      <w:tr w:rsidR="00D724F8" w:rsidRPr="005372EC" w14:paraId="5FCA8135" w14:textId="77777777" w:rsidTr="005A1E56">
        <w:trPr>
          <w:trHeight w:val="288"/>
        </w:trPr>
        <w:tc>
          <w:tcPr>
            <w:tcW w:w="983" w:type="dxa"/>
            <w:tcBorders>
              <w:top w:val="nil"/>
              <w:left w:val="single" w:sz="8" w:space="0" w:color="auto"/>
              <w:bottom w:val="single" w:sz="4" w:space="0" w:color="auto"/>
              <w:right w:val="single" w:sz="4" w:space="0" w:color="auto"/>
            </w:tcBorders>
          </w:tcPr>
          <w:p w14:paraId="5FA7B0A8"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{"citationItems":[{"id":"ITEM-1","itemData":{"DOI":"10.1007/s00464-015-4584-0","ISSN":"14322218","PMID":"26487239","abstract":"Background: Surgical training and practice is stressful, but adaptive changes in the stress circuitry (e.g. perceptual, physiological, hormonal, neural) could support skill development. This work examined skill acquisition and stress adaptations in novice surgeons during laparoscopic surgery (LS) training and detraining. Methods: Twelve medical students were assessed for skill performance after 2 h (BASE), 5 h (MID) and 8 h (POST) of LS training in weeks 1–3, and then after 4 weeks of no training (RETEST). The stress outcomes included state anxiety, perceived stress and workload, heart rate (HR), heart rate variability (HRV), and salivary testosterone and cortisol concentrations. Functional near-infrared spectroscopy was used to assess cortical oxygenation change, as a marker of prefrontal cortex (PFC) activity. Results: Skill performance improved in every session from BASE (p &lt; 0.01), with corresponding decreases in state anxiety, stress, workload, low- and high-frequency HRV in the MID, POST and/or RETEST sessions (p &lt; 0.05). Left and right PFC were symmetrically activated within each testing session (p &lt; 0.01). The stress and workload measures predicted skill performance and changes over time (p &lt; 0.05), with state anxiety, mean HR and the HRV measures also showing some predictive potential (p &lt; 0.10). Conclusions: A 3-week LS training programme promoted stress-related adaptations likely to directly, or indirectly, support the acquisition of new surgical skills, and many outcomes were retained after a 4-week period without further LS training. These results have implications for medical training and education (e.g. distributed training for skill development and maintenance, stress resource and management training) and highlighted possible areas for new research (e.g. longitudinal stress and skill profiling).","author":[{"dropping-particle":"","family":"Crewther","given":"Blair T.","non-dropping-particle":"","parse-names":false,"suffix":""},{"dropping-particle":"","family":"Shetty","given":"Kunal","non-dropping-particle":"","parse-names":false,"suffix":""},{"dropping-particle":"","family":"Jarchi","given":"Delaram","non-dropping-particle":"","parse-names":false,"suffix":""},{"dropping-particle":"","family":"Selvadurai","given":"Shaun","non-dropping-particle":"","parse-names":false,"suffix":""},{"dropping-particle":"","family":"Cook","given":"Christian J.","non-dropping-particle":"","parse-names":false,"suffix":""},{"dropping-particle":"","family":"Leff","given":"Daniel R.","non-dropping-particle":"","parse-names":false,"suffix":""},{"dropping-particle":"","family":"Darzi","given":"Ara","non-dropping-particle":"","parse-names":false,"suffix":""},{"dropping-particle":"","family":"Yang","given":"Guang Zhong","non-dropping-particle":"","parse-names":false,"suffix":""}],"container-title":"Surgical Endoscopy","id":"ITEM-1","issue":"7","issued":{"date-parts":[["2016"]]},"page":"2961-2968","title":"Skill acquisition and stress adaptations following laparoscopic surgery training and detraining in novice surgeons","type":"article-journal","volume":"30"},"uris":["http://www.mendeley.com/documents/?uuid=12a08c34-1ea9-4ecd-b9a9-bfc2113efe26"]}],"mendeley":{"formattedCitation":"(22)","plainTextFormattedCitation":"(22)","previouslyFormattedCitation":"(22)"},"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(22)</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3F30FE10" w14:textId="77777777" w:rsidR="00D724F8" w:rsidRPr="005372EC" w:rsidRDefault="00D724F8" w:rsidP="005A1E56">
            <w:pPr>
              <w:spacing w:after="0" w:line="240" w:lineRule="auto"/>
              <w:rPr>
                <w:rFonts w:ascii="Arial" w:eastAsia="Times New Roman" w:hAnsi="Arial" w:cs="Arial"/>
                <w:color w:val="000000"/>
                <w:sz w:val="16"/>
                <w:szCs w:val="16"/>
                <w:lang w:eastAsia="es-ES"/>
              </w:rPr>
            </w:pPr>
            <w:proofErr w:type="spellStart"/>
            <w:r w:rsidRPr="70FF01BB">
              <w:rPr>
                <w:rFonts w:ascii="Arial" w:eastAsia="Times New Roman" w:hAnsi="Arial" w:cs="Arial"/>
                <w:color w:val="000000" w:themeColor="text1"/>
                <w:sz w:val="16"/>
                <w:szCs w:val="16"/>
              </w:rPr>
              <w:t>Crewther</w:t>
            </w:r>
            <w:proofErr w:type="spellEnd"/>
            <w:r w:rsidRPr="70FF01BB">
              <w:rPr>
                <w:rFonts w:ascii="Arial" w:eastAsia="Times New Roman" w:hAnsi="Arial" w:cs="Arial"/>
                <w:color w:val="000000" w:themeColor="text1"/>
                <w:sz w:val="16"/>
                <w:szCs w:val="16"/>
              </w:rPr>
              <w:t xml:space="preserve"> et al., 2016</w:t>
            </w:r>
          </w:p>
        </w:tc>
        <w:tc>
          <w:tcPr>
            <w:tcW w:w="1931" w:type="dxa"/>
            <w:tcBorders>
              <w:top w:val="nil"/>
              <w:left w:val="single" w:sz="8" w:space="0" w:color="auto"/>
              <w:bottom w:val="single" w:sz="4" w:space="0" w:color="auto"/>
              <w:right w:val="single" w:sz="4" w:space="0" w:color="auto"/>
            </w:tcBorders>
            <w:noWrap/>
            <w:vAlign w:val="bottom"/>
            <w:hideMark/>
          </w:tcPr>
          <w:p w14:paraId="558F8E44"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7F51BA77"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7D6B596B"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42" w:type="dxa"/>
            <w:tcBorders>
              <w:top w:val="nil"/>
              <w:left w:val="single" w:sz="8" w:space="0" w:color="auto"/>
              <w:bottom w:val="single" w:sz="4" w:space="0" w:color="auto"/>
              <w:right w:val="single" w:sz="4" w:space="0" w:color="auto"/>
            </w:tcBorders>
            <w:noWrap/>
            <w:vAlign w:val="bottom"/>
            <w:hideMark/>
          </w:tcPr>
          <w:p w14:paraId="1A52572F"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701" w:type="dxa"/>
            <w:tcBorders>
              <w:top w:val="nil"/>
              <w:left w:val="single" w:sz="8" w:space="0" w:color="auto"/>
              <w:bottom w:val="single" w:sz="4" w:space="0" w:color="auto"/>
              <w:right w:val="single" w:sz="4" w:space="0" w:color="auto"/>
            </w:tcBorders>
            <w:noWrap/>
            <w:vAlign w:val="bottom"/>
            <w:hideMark/>
          </w:tcPr>
          <w:p w14:paraId="63E75C8C"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3DD642B9"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0609DF" w14:paraId="4C646D3E" w14:textId="77777777" w:rsidTr="005A1E56">
        <w:trPr>
          <w:trHeight w:val="288"/>
        </w:trPr>
        <w:tc>
          <w:tcPr>
            <w:tcW w:w="983" w:type="dxa"/>
            <w:tcBorders>
              <w:top w:val="nil"/>
              <w:left w:val="single" w:sz="8" w:space="0" w:color="auto"/>
              <w:bottom w:val="single" w:sz="4" w:space="0" w:color="auto"/>
              <w:right w:val="single" w:sz="4" w:space="0" w:color="auto"/>
            </w:tcBorders>
          </w:tcPr>
          <w:p w14:paraId="76CBAB76"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{"citationItems":[{"id":"ITEM-1","itemData":{"DOI":"10.3109/0142159X.2015.1114597","ISSN":"1466187X","PMID":"26646656","abstract":"Background: An excessive level of stress and anxiety in medical education can have a negative impact on learning. In particular, the interaction between attending surgeons and trainees in the operating room could induce stress on trainees that is counterproductive, especially if the teaching style or feedback is unduly harsh or critical. Aim: To characterize the effects of stress resulting from attending–trainee interaction during surgical skill acquisition. Methods: Forty medical students learned to perform the FLS pattern-cutting task for the first time in one of four scenarios. In the control condition, no mentor was present. In the three experimental conditions, participants were observed, encouraged, or criticized by an expert surgeon. Results: Task performance, as well as physiological and subjective indicators of stress, were measured. Taking both speed and accuracy into account, participants who were criticized performed the worst on the task, and those who were encouraged performed best. Physiological and subjective measures indicated that the criticized participants experienced the highest level of stress and anxiety. Conclusion: Even though providing constructive criticism to trainees is inevitable during the course of teaching, an exceedingly critical and negative mentoring style by attending physicians could be detrimental to trainees’ acquisition of surgical skills.","author":[{"dropping-particle":"","family":"Flinn","given":"Jeff T.","non-dropping-particle":"","parse-names":false,"suffix":""},{"dropping-particle":"","family":"Miller","given":"Amie","non-dropping-particle":"","parse-names":false,"suffix":""},{"dropping-particle":"","family":"Pyatka","given":"Natalie","non-dropping-particle":"","parse-names":false,"suffix":""},{"dropping-particle":"","family":"Brewer","given":"Jacob","non-dropping-particle":"","parse-names":false,"suffix":""},{"dropping-particle":"","family":"Schneider","given":"Tamera","non-dropping-particle":"","parse-names":false,"suffix":""},{"dropping-particle":"","family":"Cao","given":"Caroline G.L.","non-dropping-particle":"","parse-names":false,"suffix":""}],"container-title":"Medical Teacher","id":"ITEM-1","issue":"9","issued":{"date-parts":[["2016"]]},"page":"897-903","title":"The effect of stress on learning in surgical skill acquisition","type":"article-journal","volume":"38"},"uris":["http://www.mendeley.com/documents/?uuid=c2297295-09a5-49b9-b7d2-a2a09ba64aa7"]}],"mendeley":{"formattedCitation":"(65)","plainTextFormattedCitation":"(65)","previouslyFormattedCitation":"(65)"},"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(65)</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7E7DCC91"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Flinn et al., 2016</w:t>
            </w:r>
          </w:p>
        </w:tc>
        <w:tc>
          <w:tcPr>
            <w:tcW w:w="1931" w:type="dxa"/>
            <w:tcBorders>
              <w:top w:val="nil"/>
              <w:left w:val="single" w:sz="8" w:space="0" w:color="auto"/>
              <w:bottom w:val="single" w:sz="4" w:space="0" w:color="auto"/>
              <w:right w:val="single" w:sz="4" w:space="0" w:color="auto"/>
            </w:tcBorders>
            <w:noWrap/>
            <w:vAlign w:val="bottom"/>
            <w:hideMark/>
          </w:tcPr>
          <w:p w14:paraId="3B1DDCDF"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03AF3D25"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74C957A8"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42" w:type="dxa"/>
            <w:tcBorders>
              <w:top w:val="nil"/>
              <w:left w:val="single" w:sz="8" w:space="0" w:color="auto"/>
              <w:bottom w:val="single" w:sz="4" w:space="0" w:color="auto"/>
              <w:right w:val="single" w:sz="4" w:space="0" w:color="auto"/>
            </w:tcBorders>
            <w:noWrap/>
            <w:vAlign w:val="bottom"/>
            <w:hideMark/>
          </w:tcPr>
          <w:p w14:paraId="6B34B01B"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5F54E12F"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564FBF22"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0609DF" w14:paraId="399866A5" w14:textId="77777777" w:rsidTr="005A1E56">
        <w:trPr>
          <w:trHeight w:val="288"/>
        </w:trPr>
        <w:tc>
          <w:tcPr>
            <w:tcW w:w="983" w:type="dxa"/>
            <w:tcBorders>
              <w:top w:val="nil"/>
              <w:left w:val="single" w:sz="8" w:space="0" w:color="auto"/>
              <w:bottom w:val="single" w:sz="4" w:space="0" w:color="auto"/>
              <w:right w:val="single" w:sz="4" w:space="0" w:color="auto"/>
            </w:tcBorders>
          </w:tcPr>
          <w:p w14:paraId="43BFC0F6"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{"citationItems":[{"id":"ITEM-1","itemData":{"DOI":"10.1097/SLE.0000000000000250","ISSN":"15344908","PMID":"26915064","abstract":"Objective: This study aimed to determine what effect environmental noise has upon the psychological and physiological stress response of medical students during simulated laparoscopic surgery. Materials and Methods: An anonymous cohort of medical students were randomized into 2 arms and performed a laparoscopic task on a simulator. The \"control\" group performed the task in silence, whereas the \"noise\" group were exposed to an 80 dB verbal recording. Operator stress response was measured using a validated acute stress questionnaire and continuous heart rate (HR). Results: A total of 70 medical students participated. The \"state\" component of the State Trait Anxiety Inventory questionnaire increased significantly following the task in both groups with globally higher scores recorded in the noise group. Peak-resting HR values were significantly higher in the noise group. Meanresting HR was significantly higher in the noise group. Conclusions: Environmental noise in a simulated theater environment generates a measurable increase in operator stress response during laparoscopy.","author":[{"dropping-particle":"","family":"Waterland","given":"Peter","non-dropping-particle":"","parse-names":false,"suffix":""},{"dropping-particle":"","family":"Khan","given":"Faisal S.","non-dropping-particle":"","parse-names":false,"suffix":""},{"dropping-particle":"","family":"Ismaili","given":"Elgerta","non-dropping-particle":"","parse-names":false,"suffix":""},{"dropping-particle":"","family":"Cheruvu","given":"Chandra","non-dropping-particle":"","parse-names":false,"suffix":""}],"container-title":"Surgical Laparoscopy, Endoscopy and Percutaneous Techniques","id":"ITEM-1","issue":"2","issued":{"date-parts":[["2016"]]},"page":"133-136","title":"Environmental noise as an operative stressor during simulated laparoscopic surgery","type":"article-journal","volume":"26"},"uris":["http://www.mendeley.com/documents/?uuid=144a0c8f-785d-46cc-9873-e51f5b02c218"]}],"mendeley":{"formattedCitation":"(66)","plainTextFormattedCitation":"(66)","previouslyFormattedCitation":"(66)"},"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(66)</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2E5A6440"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Waterland et al., 2016</w:t>
            </w:r>
          </w:p>
        </w:tc>
        <w:tc>
          <w:tcPr>
            <w:tcW w:w="1931" w:type="dxa"/>
            <w:tcBorders>
              <w:top w:val="nil"/>
              <w:left w:val="single" w:sz="8" w:space="0" w:color="auto"/>
              <w:bottom w:val="single" w:sz="4" w:space="0" w:color="auto"/>
              <w:right w:val="single" w:sz="4" w:space="0" w:color="auto"/>
            </w:tcBorders>
            <w:noWrap/>
            <w:vAlign w:val="bottom"/>
            <w:hideMark/>
          </w:tcPr>
          <w:p w14:paraId="5CC4BEA5"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269" w:type="dxa"/>
            <w:tcBorders>
              <w:top w:val="nil"/>
              <w:left w:val="single" w:sz="8" w:space="0" w:color="auto"/>
              <w:bottom w:val="single" w:sz="4" w:space="0" w:color="auto"/>
              <w:right w:val="single" w:sz="4" w:space="0" w:color="auto"/>
            </w:tcBorders>
            <w:noWrap/>
            <w:vAlign w:val="bottom"/>
            <w:hideMark/>
          </w:tcPr>
          <w:p w14:paraId="02D2A027"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6556B455"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4A511B9D"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249D34BF"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3DFD4DA4"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0609DF" w14:paraId="4D05F316" w14:textId="77777777" w:rsidTr="005A1E56">
        <w:trPr>
          <w:trHeight w:val="288"/>
        </w:trPr>
        <w:tc>
          <w:tcPr>
            <w:tcW w:w="983" w:type="dxa"/>
            <w:tcBorders>
              <w:top w:val="nil"/>
              <w:left w:val="single" w:sz="8" w:space="0" w:color="auto"/>
              <w:bottom w:val="single" w:sz="4" w:space="0" w:color="auto"/>
              <w:right w:val="single" w:sz="4" w:space="0" w:color="auto"/>
            </w:tcBorders>
          </w:tcPr>
          <w:p w14:paraId="26A68828"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{"citationItems":[{"id":"ITEM-1","itemData":{"DOI":"10.1007/s40137-017-0181-6","ISSN":"21674817","abstract":"Purpose of Review Surgical skill deteriorates due to stress, but mental skills may negate this skill deterioration. We recently developed a mental skills curriculum (MSC) to address this, and present findings of its effectiveness compared to historical controls. Recent Findings The MSC was implemented with surgical novices during simulator training, and results were compared to historical controls who had no mental skills training. The groups were comparable at baseline. Compared with the MSC group, historical controls trained longer and achieved higher performance on the simulator but without appreciable differences during the transfer test. Deterioration was less in the MSC group during transfer. Summary Our review highlights the effectiveness of mental skills training in surgical education in general, and our novel, comprehensive MSC in minimizing performance deterioration during transfer of simulator-acquired skill. Inexperienced surgical trainees who use a comprehensive MSC may be better prepared to handle the stressful OR environment and optimize their performance.","author":[{"dropping-particle":"","family":"Anton","given":"Nicholas E.","non-dropping-particle":"","parse-names":false,"suffix":""},{"dropping-particle":"","family":"Howley","given":"Lisa D.","non-dropping-particle":"","parse-names":false,"suffix":""},{"dropping-particle":"","family":"Davis","given":"Cameron K.","non-dropping-particle":"","parse-names":false,"suffix":""},{"dropping-particle":"","family":"Brown","given":"Charles","non-dropping-particle":"","parse-names":false,"suffix":""},{"dropping-particle":"","family":"Stefanidis","given":"Dimitrios","non-dropping-particle":"","parse-names":false,"suffix":""}],"container-title":"Current Surgery Reports","id":"ITEM-1","issued":{"date-parts":[["2017"]]},"page":"1-8","title":"Minimizing deterioration of simulator-acquired skills during transfer to the operating room: A novel approach","type":"article-journal","volume":"5"},"uris":["http://www.mendeley.com/documents/?uuid=113605e5-81e9-4a45-96f9-238218b18a25"]}],"mendeley":{"formattedCitation":"(109)","plainTextFormattedCitation":"(109)","previouslyFormattedCitation":"(109)"},"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(109)</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5DC2338E"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Anton et al., 2017</w:t>
            </w:r>
          </w:p>
        </w:tc>
        <w:tc>
          <w:tcPr>
            <w:tcW w:w="1931" w:type="dxa"/>
            <w:tcBorders>
              <w:top w:val="nil"/>
              <w:left w:val="single" w:sz="8" w:space="0" w:color="auto"/>
              <w:bottom w:val="single" w:sz="4" w:space="0" w:color="auto"/>
              <w:right w:val="single" w:sz="4" w:space="0" w:color="auto"/>
            </w:tcBorders>
            <w:noWrap/>
            <w:vAlign w:val="bottom"/>
            <w:hideMark/>
          </w:tcPr>
          <w:p w14:paraId="7E40C44B"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269" w:type="dxa"/>
            <w:tcBorders>
              <w:top w:val="nil"/>
              <w:left w:val="single" w:sz="8" w:space="0" w:color="auto"/>
              <w:bottom w:val="single" w:sz="4" w:space="0" w:color="auto"/>
              <w:right w:val="single" w:sz="4" w:space="0" w:color="auto"/>
            </w:tcBorders>
            <w:noWrap/>
            <w:vAlign w:val="bottom"/>
            <w:hideMark/>
          </w:tcPr>
          <w:p w14:paraId="15B77F2A"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3B9622EF"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09C6F8E7"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314773BC"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1D2FC785"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5372EC" w14:paraId="7BE90B6A" w14:textId="77777777" w:rsidTr="005A1E56">
        <w:trPr>
          <w:trHeight w:val="288"/>
        </w:trPr>
        <w:tc>
          <w:tcPr>
            <w:tcW w:w="983" w:type="dxa"/>
            <w:tcBorders>
              <w:top w:val="nil"/>
              <w:left w:val="single" w:sz="8" w:space="0" w:color="auto"/>
              <w:bottom w:val="single" w:sz="4" w:space="0" w:color="auto"/>
              <w:right w:val="single" w:sz="4" w:space="0" w:color="auto"/>
            </w:tcBorders>
          </w:tcPr>
          <w:p w14:paraId="784B6E8D"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{"citationItems":[{"id":"ITEM-1","itemData":{"DOI":"10.3171/2015.5.JNS15558","ISSN":"19330693","PMID":"26967787","abstract":"OBJECTIVE: Severe bleeding during neurosurgical operations can result in acute stress affecting the bimanual psychomotor performance of the operator, leading to surgical error and an adverse patient outcome. Objective methods to assess the influence of acute stress on neurosurgical bimanual psychomotor performance have not been developed. Virtual reality simulators, such as NeuroTouch, allow the testing of acute stress on psychomotor performance in risk-free environments. Thus, the purpose of this study was to explore the impact of a simulated stressful virtual reality tumor resection scenario by utilizing NeuroTouch to answer 2 questions: 1) What is the impact of acute stress on bimanual psychomotor performance during the resection of simulated tumors? 2) Does acute stress influence bimanual psychomotor performance immediately following the stressful episode? METHODS: Study participants included 6 neurosurgeons, 6 senior and 6 junior neurosurgical residents, and 6 medical students. Participants resected a total of 6 simulated tumors, 1 of which (Tumor 4) involved uncontrollable \"intraoperative\" bleeding resulting in simulated cardiac arrest and thus providing the acute stress scenario. Tier 1 metrics included extent of blood loss, percentage of tumor resected, and \"normal\" brain tissue volume removed. Tier 2 metrics included simulated suction device (sucker) and ultrasonic aspirator total tip path length, as well as the sum and maximum forces applied in using these instruments. Advanced Tier 2 metrics included efficiency index, coordination index, ultrasonic aspirator path length index, and ultrasonic aspirator bimanual forces ratio. All metrics were assessed before, during, and after the stressful scenario. RESULTS: The stress scenario caused expected significant increases in blood loss in all participant groups. Extent of tumor resected and brain volume removed decreased in the junior resident and medical student groups. Sucker total tip path length increased in the neurosurgeon group, whereas sucker forces increased in the senior resident group. Psychomotor performance on advanced Tier 2 metrics was altered during the stress scenario in all participant groups. Performance on all advanced Tier 2 metrics returned to pre-stress levels in the post-stress scenario tumor resections. CONCLUSIONS: Results demonstrated that acute stress initiated by simulated severe intraoperative bleeding significantly decreases bimanual psychomotor performance during the a…","author":[{"dropping-particle":"","family":"Bajunaid","given":"Khalid","non-dropping-particle":"","parse-names":false,"suffix":""},{"dropping-particle":"","family":"Mullah","given":"Muhammad Abu Shadeque","non-dropping-particle":"","parse-names":false,"suffix":""},{"dropping-particle":"","family":"Winkler-Schwartz","given":"Alexander","non-dropping-particle":"","parse-names":false,"suffix":""},{"dropping-particle":"","family":"Alotaibi","given":"Fahad E.","non-dropping-particle":"","parse-names":false,"suffix":""},{"dropping-particle":"","family":"Fares","given":"Jawad","non-dropping-particle":"","parse-names":false,"suffix":""},{"dropping-particle":"","family":"Baggiani","given":"Marta","non-dropping-particle":"","parse-names":false,"suffix":""},{"dropping-particle":"","family":"Azarnoush","given":"Hamed","non-dropping-particle":"","parse-names":false,"suffix":""},{"dropping-particle":"","family":"Christie","given":"Sommer","non-dropping-particle":"","parse-names":false,"suffix":""},{"dropping-particle":"","family":"Al-Zhrani","given":"Gmaan","non-dropping-particle":"","parse-names":false,"suffix":""},{"dropping-particle":"","family":"Marwa","given":"Ibrahim","non-dropping-particle":"","parse-names":false,"suffix":""},{"dropping-particle":"","family":"Sabbagh","given":"Abdulrahman Jafar","non-dropping-particle":"","parse-names":false,"suffix":""},{"dropping-particle":"","family":"Werthner","given":"Penny","non-dropping-particle":"","parse-names":false,"suffix":""},{"dropping-particle":"","family":"Maestro","given":"Rolando F.","non-dropping-particle":"Del","parse-names":false,"suffix":""}],"container-title":"Journal of Neurosurgery","id":"ITEM-1","issue":"1","issued":{"date-parts":[["2017"]]},"page":"71-80","title":"Impact of acute stress on psychomotor bimanual performance during a simulated tumor resection task","type":"article-journal","volume":"126"},"uris":["http://www.mendeley.com/documents/?uuid=e5c3c6fb-d995-4c8e-9d2d-31c9c32f03b7"]}],"mendeley":{"formattedCitation":"(104)","plainTextFormattedCitation":"(104)","previouslyFormattedCitation":"(104)"},"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(104)</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00DD1615" w14:textId="77777777" w:rsidR="00D724F8" w:rsidRPr="005372EC" w:rsidRDefault="00D724F8" w:rsidP="005A1E56">
            <w:pPr>
              <w:spacing w:after="0" w:line="240" w:lineRule="auto"/>
              <w:rPr>
                <w:rFonts w:ascii="Arial" w:eastAsia="Times New Roman" w:hAnsi="Arial" w:cs="Arial"/>
                <w:color w:val="000000"/>
                <w:sz w:val="16"/>
                <w:szCs w:val="16"/>
                <w:lang w:eastAsia="es-ES"/>
              </w:rPr>
            </w:pPr>
            <w:proofErr w:type="spellStart"/>
            <w:r w:rsidRPr="70FF01BB">
              <w:rPr>
                <w:rFonts w:ascii="Arial" w:eastAsia="Times New Roman" w:hAnsi="Arial" w:cs="Arial"/>
                <w:color w:val="000000" w:themeColor="text1"/>
                <w:sz w:val="16"/>
                <w:szCs w:val="16"/>
              </w:rPr>
              <w:t>Bajunaid</w:t>
            </w:r>
            <w:proofErr w:type="spellEnd"/>
            <w:r w:rsidRPr="70FF01BB">
              <w:rPr>
                <w:rFonts w:ascii="Arial" w:eastAsia="Times New Roman" w:hAnsi="Arial" w:cs="Arial"/>
                <w:color w:val="000000" w:themeColor="text1"/>
                <w:sz w:val="16"/>
                <w:szCs w:val="16"/>
              </w:rPr>
              <w:t xml:space="preserve"> et al., 2017</w:t>
            </w:r>
          </w:p>
        </w:tc>
        <w:tc>
          <w:tcPr>
            <w:tcW w:w="1931" w:type="dxa"/>
            <w:tcBorders>
              <w:top w:val="nil"/>
              <w:left w:val="single" w:sz="8" w:space="0" w:color="auto"/>
              <w:bottom w:val="single" w:sz="4" w:space="0" w:color="auto"/>
              <w:right w:val="single" w:sz="4" w:space="0" w:color="auto"/>
            </w:tcBorders>
            <w:noWrap/>
            <w:vAlign w:val="bottom"/>
            <w:hideMark/>
          </w:tcPr>
          <w:p w14:paraId="3CA4C4AC"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1819D84C"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328BAA6F"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42" w:type="dxa"/>
            <w:tcBorders>
              <w:top w:val="nil"/>
              <w:left w:val="single" w:sz="8" w:space="0" w:color="auto"/>
              <w:bottom w:val="single" w:sz="4" w:space="0" w:color="auto"/>
              <w:right w:val="single" w:sz="4" w:space="0" w:color="auto"/>
            </w:tcBorders>
            <w:noWrap/>
            <w:vAlign w:val="bottom"/>
            <w:hideMark/>
          </w:tcPr>
          <w:p w14:paraId="33164176"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77DA1D3C"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05A0910B"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0609DF" w14:paraId="4AA27706" w14:textId="77777777" w:rsidTr="005A1E56">
        <w:trPr>
          <w:trHeight w:val="288"/>
        </w:trPr>
        <w:tc>
          <w:tcPr>
            <w:tcW w:w="983" w:type="dxa"/>
            <w:tcBorders>
              <w:top w:val="nil"/>
              <w:left w:val="single" w:sz="8" w:space="0" w:color="auto"/>
              <w:bottom w:val="single" w:sz="4" w:space="0" w:color="auto"/>
              <w:right w:val="single" w:sz="4" w:space="0" w:color="auto"/>
            </w:tcBorders>
          </w:tcPr>
          <w:p w14:paraId="3667D918"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{"citationItems":[{"id":"ITEM-1","itemData":{"DOI":"10.1007/s40719-017-0090-2","ISSN":"21986096","abstract":"Purpose of Review: Fear of litigation even in surgical training, duty hour restrictions, and lack of exposure and responsibility to primarily manage real-life stressful situations have potentially impeded newly trained surgeons’ ability to function while under duress. Thus, our Research Collaborative sought to examine stress immersion and stress inoculation training in surgical simulation training. Recent Findings: We examined the impact on surgical trainees’s ability to perform in real, lifesaving situations, regardless of outside stressors. Recent findings have demonstrated that by testing participants for salivary cortisol and amylase levels during surgical simulations, habituation to stress, coupled with increased performance metrics, can be demonstrated. Summary: The current method of see one, do one, teach one may not be the best method for surgical or medical training, and other methods such as immersion training and stress inoculation should be further studied.","author":[{"dropping-particle":"","family":"LaPorta","given":"Anthony J.","non-dropping-particle":"","parse-names":false,"suffix":""},{"dropping-particle":"","family":"McKee","given":"Jessica","non-dropping-particle":"","parse-names":false,"suffix":""},{"dropping-particle":"","family":"Hoang","given":"Tuan","non-dropping-particle":"","parse-names":false,"suffix":""},{"dropping-particle":"","family":"Horst","given":"Alicia","non-dropping-particle":"","parse-names":false,"suffix":""},{"dropping-particle":"","family":"McBeth","given":"Paul","non-dropping-particle":"","parse-names":false,"suffix":""},{"dropping-particle":"","family":"Gillman","given":"Lawrence M.","non-dropping-particle":"","parse-names":false,"suffix":""},{"dropping-particle":"","family":"Kirkpatrick","given":"Andrew W.","non-dropping-particle":"","parse-names":false,"suffix":""}],"container-title":"Current Trauma Reports","id":"ITEM-1","issued":{"date-parts":[["2017"]]},"page":"135-143","title":"Stress Inoculation: Preparing Outside the Box in Surgical Resuscitation and Education","type":"article-journal","volume":"3"},"uris":["http://www.mendeley.com/documents/?uuid=9cca0aec-8c69-47a1-b63a-2e93e0432d1b"]}],"mendeley":{"formattedCitation":"(89)","plainTextFormattedCitation":"(89)","previouslyFormattedCitation":"(89)"},"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(89)</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490043A9"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LaPorta et al., 2017</w:t>
            </w:r>
          </w:p>
        </w:tc>
        <w:tc>
          <w:tcPr>
            <w:tcW w:w="1931" w:type="dxa"/>
            <w:tcBorders>
              <w:top w:val="nil"/>
              <w:left w:val="single" w:sz="8" w:space="0" w:color="auto"/>
              <w:bottom w:val="single" w:sz="4" w:space="0" w:color="auto"/>
              <w:right w:val="single" w:sz="4" w:space="0" w:color="auto"/>
            </w:tcBorders>
            <w:noWrap/>
            <w:vAlign w:val="bottom"/>
            <w:hideMark/>
          </w:tcPr>
          <w:p w14:paraId="2A309159"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2444CCD7"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7E730ED9"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1F0D8442"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6497A154"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28150D0D"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Some concerns</w:t>
            </w:r>
          </w:p>
        </w:tc>
      </w:tr>
      <w:tr w:rsidR="00D724F8" w:rsidRPr="005372EC" w14:paraId="6B6617C2" w14:textId="77777777" w:rsidTr="005A1E56">
        <w:trPr>
          <w:trHeight w:val="288"/>
        </w:trPr>
        <w:tc>
          <w:tcPr>
            <w:tcW w:w="983" w:type="dxa"/>
            <w:tcBorders>
              <w:top w:val="nil"/>
              <w:left w:val="single" w:sz="8" w:space="0" w:color="auto"/>
              <w:bottom w:val="single" w:sz="4" w:space="0" w:color="auto"/>
              <w:right w:val="single" w:sz="4" w:space="0" w:color="auto"/>
            </w:tcBorders>
          </w:tcPr>
          <w:p w14:paraId="55BD1013"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{"citationItems":[{"id":"ITEM-1","itemData":{"DOI":"10.1016/j.jsurg.2017.03.001","ISSN":"18787452","PMID":"28552418","abstract":"Study Objective To evaluate the effect of stress on laparoscopic skills between obstetrics and gynecology residents. Design Observational prospective cohort study. Design Classification Prospective cohort. Setting Urban teaching university hospital. Participants (Patients) Thirty-one obstetrics and gynecology residents, postgraduate years 1 to 4. Intervention We assessed 4 basic laparoscopic skills at 2 sessions. The first session was the baseline; 6 months later the same skills were assessed under audiovisual stressors. We compared the effect of stress on accuracy and efficiency between the 2 sessions. Measurements and Main Results A linear model was used to analyze time. Under stress, residents were more efficient in 3 of the 4 modules. Ring transfer (hand-eye coordination and bimanual dexterity), p = 0.0304. Ring of fire (bimanual dexterity and measure of depth perception), p = 0.0024 and dissection glove (respect of delicate tissue planes), p = 0.0002. Poisson regression was used to analyze the total number of penalties. Residents were more likely to acquire penalties under stress. Ring transfer, p = 0.0184 and cobra (hand-to-hand coordination), p = 0.0487 yielded a statistically significant increase in penalties in the presence of stressors. Dissection glove p = 0.0605 yielded a nonsignificant increase in penalties. Conclusion Our work confirmed that while under stress residents were more efficient, this translated into their ability to complete tasks faster in all the tested skills. Efficiency, however, came at the expense of accuracy.","author":[{"dropping-particle":"","family":"Moawad","given":"Gaby N.","non-dropping-particle":"","parse-names":false,"suffix":""},{"dropping-particle":"","family":"Tyan","given":"Paul","non-dropping-particle":"","parse-names":false,"suffix":""},{"dropping-particle":"","family":"Kumar","given":"Dipti","non-dropping-particle":"","parse-names":false,"suffix":""},{"dropping-particle":"","family":"Krapf","given":"Jill","non-dropping-particle":"","parse-names":false,"suffix":""},{"dropping-particle":"","family":"Marfori","given":"Cherie","non-dropping-particle":"","parse-names":false,"suffix":""},{"dropping-particle":"","family":"Abi Khalil","given":"Elias D.","non-dropping-particle":"","parse-names":false,"suffix":""},{"dropping-particle":"","family":"Robinson","given":"James","non-dropping-particle":"","parse-names":false,"suffix":""}],"container-title":"Journal of Surgical Education","id":"ITEM-1","issue":"5","issued":{"date-parts":[["2017"]]},"page":"862-866","title":"Determining the Effect of External Stressors on Laparoscopic Skills and Performance Between Obstetrics and Gynecology Residents","type":"article-journal","volume":"74"},"uris":["http://www.mendeley.com/documents/?uuid=30632686-7794-42d5-adce-780597445d87"]}],"mendeley":{"formattedCitation":"(119)","plainTextFormattedCitation":"(119)","previouslyFormattedCitation":"(119)"},"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(119)</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511E7C26" w14:textId="77777777" w:rsidR="00D724F8" w:rsidRPr="005372EC" w:rsidRDefault="00D724F8" w:rsidP="005A1E56">
            <w:pPr>
              <w:spacing w:after="0" w:line="240" w:lineRule="auto"/>
              <w:rPr>
                <w:rFonts w:ascii="Arial" w:eastAsia="Times New Roman" w:hAnsi="Arial" w:cs="Arial"/>
                <w:color w:val="000000"/>
                <w:sz w:val="16"/>
                <w:szCs w:val="16"/>
                <w:lang w:eastAsia="es-ES"/>
              </w:rPr>
            </w:pPr>
            <w:proofErr w:type="spellStart"/>
            <w:r w:rsidRPr="70FF01BB">
              <w:rPr>
                <w:rFonts w:ascii="Arial" w:eastAsia="Times New Roman" w:hAnsi="Arial" w:cs="Arial"/>
                <w:color w:val="000000" w:themeColor="text1"/>
                <w:sz w:val="16"/>
                <w:szCs w:val="16"/>
              </w:rPr>
              <w:t>Moawad</w:t>
            </w:r>
            <w:proofErr w:type="spellEnd"/>
            <w:r w:rsidRPr="70FF01BB">
              <w:rPr>
                <w:rFonts w:ascii="Arial" w:eastAsia="Times New Roman" w:hAnsi="Arial" w:cs="Arial"/>
                <w:color w:val="000000" w:themeColor="text1"/>
                <w:sz w:val="16"/>
                <w:szCs w:val="16"/>
              </w:rPr>
              <w:t xml:space="preserve"> et al., 2017</w:t>
            </w:r>
          </w:p>
        </w:tc>
        <w:tc>
          <w:tcPr>
            <w:tcW w:w="1931" w:type="dxa"/>
            <w:tcBorders>
              <w:top w:val="nil"/>
              <w:left w:val="single" w:sz="8" w:space="0" w:color="auto"/>
              <w:bottom w:val="single" w:sz="4" w:space="0" w:color="auto"/>
              <w:right w:val="single" w:sz="4" w:space="0" w:color="auto"/>
            </w:tcBorders>
            <w:noWrap/>
            <w:vAlign w:val="bottom"/>
            <w:hideMark/>
          </w:tcPr>
          <w:p w14:paraId="198D9014"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66DD13AC"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High</w:t>
            </w:r>
          </w:p>
        </w:tc>
        <w:tc>
          <w:tcPr>
            <w:tcW w:w="1860" w:type="dxa"/>
            <w:tcBorders>
              <w:top w:val="nil"/>
              <w:left w:val="single" w:sz="8" w:space="0" w:color="auto"/>
              <w:bottom w:val="single" w:sz="4" w:space="0" w:color="auto"/>
              <w:right w:val="single" w:sz="4" w:space="0" w:color="auto"/>
            </w:tcBorders>
            <w:noWrap/>
            <w:vAlign w:val="bottom"/>
            <w:hideMark/>
          </w:tcPr>
          <w:p w14:paraId="4A48A778"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604D7557"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169B8724"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679C1F35"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Some concerns</w:t>
            </w:r>
          </w:p>
        </w:tc>
      </w:tr>
      <w:tr w:rsidR="00D724F8" w:rsidRPr="005372EC" w14:paraId="192B2CA6" w14:textId="77777777" w:rsidTr="005A1E56">
        <w:trPr>
          <w:trHeight w:val="288"/>
        </w:trPr>
        <w:tc>
          <w:tcPr>
            <w:tcW w:w="983" w:type="dxa"/>
            <w:tcBorders>
              <w:top w:val="nil"/>
              <w:left w:val="single" w:sz="8" w:space="0" w:color="auto"/>
              <w:bottom w:val="single" w:sz="4" w:space="0" w:color="auto"/>
              <w:right w:val="single" w:sz="4" w:space="0" w:color="auto"/>
            </w:tcBorders>
          </w:tcPr>
          <w:p w14:paraId="46AA4FB5"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{"citationItems":[{"id":"ITEM-1","itemData":{"DOI":"10.1016/j.amjsurg.2016.06.027","ISSN":"18791883","PMID":"27666640","abstract":"Background Mental skills training refers to the implementation of cognitive performance-enhancing strategies to promote optimal performance. We aimed to develop a surgery-specific mental skills curriculum (MSC) and obtain initial evidence of efficacy. Methods The developed MSC consisted of 8 proven performance-enhancing modules. Its efficacy was assessed during laparoscopic simulator-based practice by novices using validated instruments of mental skills, workload, and stress, in addition to a skill transfer test to a porcine model. A paired t test was used to analyze the data. Results Nine surgical novices completed the curriculum. Compared with baseline assessment, participants improved significantly their laparoscopic performance and mental skills after completion of the MSC. All participants completed the task in the porcine model without an appreciable change in their perceived stress. During the skill transfer test, 8 participants were observed using mental skills taught in the MSC. Conclusions A surgery-specific simulator-based MSC was developed, and its efficacy in improving mental skills and surgical performance was supported during a surgical skill transfer test.","author":[{"dropping-particle":"","family":"Stefanidis","given":"Dimitrios","non-dropping-particle":"","parse-names":false,"suffix":""},{"dropping-particle":"","family":"Anton","given":"Nicholas E.","non-dropping-particle":"","parse-names":false,"suffix":""},{"dropping-particle":"","family":"McRary","given":"Graham","non-dropping-particle":"","parse-names":false,"suffix":""},{"dropping-particle":"","family":"Howley","given":"Lisa D.","non-dropping-particle":"","parse-names":false,"suffix":""},{"dropping-particle":"","family":"Pimentel","given":"Manuel","non-dropping-particle":"","parse-names":false,"suffix":""},{"dropping-particle":"","family":"Davis","given":"Cameron","non-dropping-particle":"","parse-names":false,"suffix":""},{"dropping-particle":"","family":"Yurco","given":"Ashley M.","non-dropping-particle":"","parse-names":false,"suffix":""},{"dropping-particle":"","family":"Sevdalis","given":"Nick","non-dropping-particle":"","parse-names":false,"suffix":""},{"dropping-particle":"","family":"Brown","given":"Charles","non-dropping-particle":"","parse-names":false,"suffix":""}],"container-title":"American Journal of Surgery","id":"ITEM-1","issue":"2","issued":{"date-parts":[["2017"]]},"page":"353-361","title":"Implementation results of a novel comprehensive mental skills curriculum during simulator training","type":"article-journal","volume":"213"},"uris":["http://www.mendeley.com/documents/?uuid=e907cb10-a666-451c-8232-db6d67841ad9"]}],"mendeley":{"formattedCitation":"(68)","plainTextFormattedCitation":"(68)","previouslyFormattedCitation":"(68)"},"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(68)</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0EC0B1B1" w14:textId="77777777" w:rsidR="00D724F8" w:rsidRPr="005372EC" w:rsidRDefault="00D724F8" w:rsidP="005A1E56">
            <w:pPr>
              <w:spacing w:after="0" w:line="240" w:lineRule="auto"/>
              <w:rPr>
                <w:rFonts w:ascii="Arial" w:eastAsia="Times New Roman" w:hAnsi="Arial" w:cs="Arial"/>
                <w:color w:val="000000"/>
                <w:sz w:val="16"/>
                <w:szCs w:val="16"/>
                <w:lang w:eastAsia="es-ES"/>
              </w:rPr>
            </w:pPr>
            <w:proofErr w:type="spellStart"/>
            <w:r w:rsidRPr="70FF01BB">
              <w:rPr>
                <w:rFonts w:ascii="Arial" w:eastAsia="Times New Roman" w:hAnsi="Arial" w:cs="Arial"/>
                <w:color w:val="000000" w:themeColor="text1"/>
                <w:sz w:val="16"/>
                <w:szCs w:val="16"/>
              </w:rPr>
              <w:t>Stefanidis</w:t>
            </w:r>
            <w:proofErr w:type="spellEnd"/>
            <w:r w:rsidRPr="70FF01BB">
              <w:rPr>
                <w:rFonts w:ascii="Arial" w:eastAsia="Times New Roman" w:hAnsi="Arial" w:cs="Arial"/>
                <w:color w:val="000000" w:themeColor="text1"/>
                <w:sz w:val="16"/>
                <w:szCs w:val="16"/>
              </w:rPr>
              <w:t xml:space="preserve"> et al., 2017</w:t>
            </w:r>
          </w:p>
        </w:tc>
        <w:tc>
          <w:tcPr>
            <w:tcW w:w="1931" w:type="dxa"/>
            <w:tcBorders>
              <w:top w:val="nil"/>
              <w:left w:val="single" w:sz="8" w:space="0" w:color="auto"/>
              <w:bottom w:val="single" w:sz="4" w:space="0" w:color="auto"/>
              <w:right w:val="single" w:sz="4" w:space="0" w:color="auto"/>
            </w:tcBorders>
            <w:noWrap/>
            <w:vAlign w:val="bottom"/>
            <w:hideMark/>
          </w:tcPr>
          <w:p w14:paraId="116D8C19"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High</w:t>
            </w:r>
          </w:p>
        </w:tc>
        <w:tc>
          <w:tcPr>
            <w:tcW w:w="1269" w:type="dxa"/>
            <w:tcBorders>
              <w:top w:val="nil"/>
              <w:left w:val="single" w:sz="8" w:space="0" w:color="auto"/>
              <w:bottom w:val="single" w:sz="4" w:space="0" w:color="auto"/>
              <w:right w:val="single" w:sz="4" w:space="0" w:color="auto"/>
            </w:tcBorders>
            <w:noWrap/>
            <w:vAlign w:val="bottom"/>
            <w:hideMark/>
          </w:tcPr>
          <w:p w14:paraId="32A468C9"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6854A85B"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12CB93E3"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26F5235D"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255A6D98"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Some concerns</w:t>
            </w:r>
          </w:p>
        </w:tc>
      </w:tr>
      <w:tr w:rsidR="00D724F8" w:rsidRPr="000609DF" w14:paraId="70E79CE6" w14:textId="77777777" w:rsidTr="005A1E56">
        <w:trPr>
          <w:trHeight w:val="288"/>
        </w:trPr>
        <w:tc>
          <w:tcPr>
            <w:tcW w:w="983" w:type="dxa"/>
            <w:tcBorders>
              <w:top w:val="nil"/>
              <w:left w:val="single" w:sz="8" w:space="0" w:color="auto"/>
              <w:bottom w:val="single" w:sz="4" w:space="0" w:color="auto"/>
              <w:right w:val="single" w:sz="4" w:space="0" w:color="auto"/>
            </w:tcBorders>
          </w:tcPr>
          <w:p w14:paraId="285C9A46"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{"citationItems":[{"id":"ITEM-1","itemData":{"DOI":"10.1016/j.amjsurg.2016.10.016","ISSN":"18791883","PMID":"27908500","abstract":"Introduction We hypothesized that the implementation of a novel mental skills curriculum (MSC) during laparoscopic simulator training would improve mental skills and performance, and decrease stress. Methods Sixty volunteer novices were randomized into intervention and control groups. All participants received FLS training while the intervention group also participated in the MSC. Skill transfer and retention were assessed on a live porcine model after training and 2 months later, respectively. Performance was assessed using the Test of Performance Strategies-2 (TOPS-2) for mental skills, FLS metrics for laparoscopic performance, and the State Trait Anxiety Inventory (STAI-6) and heart rate (HR) for stress. Results Fifty-five participants (92%) completed training and the transfer test, and 46 (77%) the retention test. There were no significant differences between groups at baseline. Compared to controls the intervention group significantly improved their mental skill use, demonstrated higher laparoscopic skill improvement during retention, and reported less stress during the transfer test. Conclusions The MSC implemented in this study effectively enhanced participants’ mental skill use, reduced cognitive stress in the operating room with a small impact on laparoscopic performance.","author":[{"dropping-particle":"","family":"Stefanidis","given":"Dimitrios","non-dropping-particle":"","parse-names":false,"suffix":""},{"dropping-particle":"","family":"Anton","given":"Nicholas E.","non-dropping-particle":"","parse-names":false,"suffix":""},{"dropping-particle":"","family":"Howley","given":"Lisa D.","non-dropping-particle":"","parse-names":false,"suffix":""},{"dropping-particle":"","family":"Bean","given":"Eric","non-dropping-particle":"","parse-names":false,"suffix":""},{"dropping-particle":"","family":"Yurco","given":"Ashley","non-dropping-particle":"","parse-names":false,"suffix":""},{"dropping-particle":"","family":"Pimentel","given":"Manuel E.","non-dropping-particle":"","parse-names":false,"suffix":""},{"dropping-particle":"","family":"Davis","given":"Cameron K.","non-dropping-particle":"","parse-names":false,"suffix":""}],"container-title":"American Journal of Surgery","id":"ITEM-1","issue":"2","issued":{"date-parts":[["2017"]]},"page":"318-324","title":"Effectiveness of a comprehensive mental skills curriculum in enhancing surgical performance: Results of a randomized controlled trial","type":"article-journal","volume":"213"},"uris":["http://www.mendeley.com/documents/?uuid=9d1a02cc-4634-44a4-a567-a16fe210bde4"]}],"mendeley":{"formattedCitation":"(67)","plainTextFormattedCitation":"(67)","previouslyFormattedCitation":"(67)"},"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(67)</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03972B3A" w14:textId="77777777" w:rsidR="00D724F8" w:rsidRPr="000609DF" w:rsidRDefault="00D724F8" w:rsidP="005A1E56">
            <w:pPr>
              <w:spacing w:after="0" w:line="240" w:lineRule="auto"/>
              <w:rPr>
                <w:rFonts w:ascii="Arial" w:eastAsia="Times New Roman" w:hAnsi="Arial" w:cs="Arial"/>
                <w:color w:val="000000"/>
                <w:sz w:val="16"/>
                <w:szCs w:val="16"/>
                <w:lang w:eastAsia="es-ES"/>
              </w:rPr>
            </w:pPr>
            <w:proofErr w:type="spellStart"/>
            <w:r w:rsidRPr="70FF01BB">
              <w:rPr>
                <w:rFonts w:ascii="Arial" w:eastAsia="Times New Roman" w:hAnsi="Arial" w:cs="Arial"/>
                <w:color w:val="000000" w:themeColor="text1"/>
                <w:sz w:val="16"/>
                <w:szCs w:val="16"/>
              </w:rPr>
              <w:t>Stefanidis</w:t>
            </w:r>
            <w:proofErr w:type="spellEnd"/>
            <w:r w:rsidRPr="70FF01BB">
              <w:rPr>
                <w:rFonts w:ascii="Arial" w:eastAsia="Times New Roman" w:hAnsi="Arial" w:cs="Arial"/>
                <w:color w:val="000000" w:themeColor="text1"/>
                <w:sz w:val="16"/>
                <w:szCs w:val="16"/>
              </w:rPr>
              <w:t xml:space="preserve"> et al., 2017</w:t>
            </w:r>
          </w:p>
        </w:tc>
        <w:tc>
          <w:tcPr>
            <w:tcW w:w="1931" w:type="dxa"/>
            <w:tcBorders>
              <w:top w:val="nil"/>
              <w:left w:val="single" w:sz="8" w:space="0" w:color="auto"/>
              <w:bottom w:val="single" w:sz="4" w:space="0" w:color="auto"/>
              <w:right w:val="single" w:sz="4" w:space="0" w:color="auto"/>
            </w:tcBorders>
            <w:noWrap/>
            <w:vAlign w:val="bottom"/>
            <w:hideMark/>
          </w:tcPr>
          <w:p w14:paraId="59620199"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269" w:type="dxa"/>
            <w:tcBorders>
              <w:top w:val="nil"/>
              <w:left w:val="single" w:sz="8" w:space="0" w:color="auto"/>
              <w:bottom w:val="single" w:sz="4" w:space="0" w:color="auto"/>
              <w:right w:val="single" w:sz="4" w:space="0" w:color="auto"/>
            </w:tcBorders>
            <w:noWrap/>
            <w:vAlign w:val="bottom"/>
            <w:hideMark/>
          </w:tcPr>
          <w:p w14:paraId="1FE426E5"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0EB4F0A4"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42" w:type="dxa"/>
            <w:tcBorders>
              <w:top w:val="nil"/>
              <w:left w:val="single" w:sz="8" w:space="0" w:color="auto"/>
              <w:bottom w:val="single" w:sz="4" w:space="0" w:color="auto"/>
              <w:right w:val="single" w:sz="4" w:space="0" w:color="auto"/>
            </w:tcBorders>
            <w:noWrap/>
            <w:vAlign w:val="bottom"/>
            <w:hideMark/>
          </w:tcPr>
          <w:p w14:paraId="4E808810"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 xml:space="preserve">Low </w:t>
            </w:r>
          </w:p>
        </w:tc>
        <w:tc>
          <w:tcPr>
            <w:tcW w:w="1701" w:type="dxa"/>
            <w:tcBorders>
              <w:top w:val="nil"/>
              <w:left w:val="single" w:sz="8" w:space="0" w:color="auto"/>
              <w:bottom w:val="single" w:sz="4" w:space="0" w:color="auto"/>
              <w:right w:val="single" w:sz="4" w:space="0" w:color="auto"/>
            </w:tcBorders>
            <w:noWrap/>
            <w:vAlign w:val="bottom"/>
            <w:hideMark/>
          </w:tcPr>
          <w:p w14:paraId="33F0A867"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3279420C"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0609DF" w14:paraId="12C09468" w14:textId="77777777" w:rsidTr="005A1E56">
        <w:trPr>
          <w:trHeight w:val="288"/>
        </w:trPr>
        <w:tc>
          <w:tcPr>
            <w:tcW w:w="983" w:type="dxa"/>
            <w:tcBorders>
              <w:top w:val="nil"/>
              <w:left w:val="single" w:sz="8" w:space="0" w:color="auto"/>
              <w:bottom w:val="single" w:sz="4" w:space="0" w:color="auto"/>
              <w:right w:val="single" w:sz="4" w:space="0" w:color="auto"/>
            </w:tcBorders>
          </w:tcPr>
          <w:p w14:paraId="007B1BE5"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{"citationItems":[{"id":"ITEM-1","itemData":{"DOI":"10.1016/j.amjsurg.2017.09.039","ISSN":"18791883","PMID":"29153250","abstract":"Background: Stress can negatively impact surgical performance, but mental skills may help. We hypothesized that a comprehensive mental skills curriculum (MSC) would minimize resident performance deterioration under stress. Methods: Twenty-four residents were stratified then randomized to receive mental skills and FLS training (MSC group), or only FLS training (control group). Laparoscopic suturing skill was assessed on a live porcine model with and without external stressors. Outcomes were compared with t-tests. Results: Twenty-three residents completed the study. The groups were similar at baseline. There were no differences in suturing at posttest or transfer test under normal conditions. Both groups experienced significantly decreased performance when stress was applied, but the MSC group significantly outperformed controls under stress. Conclusions: This MSC enabled residents to perform significantly better than controls in the simulated OR under unexpected stressful conditions. These findings support the use of psychological skills as an integral part of a surgical resident training.","author":[{"dropping-particle":"","family":"Anton","given":"N. E.","non-dropping-particle":"","parse-names":false,"suffix":""},{"dropping-particle":"","family":"Beane","given":"J.","non-dropping-particle":"","parse-names":false,"suffix":""},{"dropping-particle":"","family":"Yurco","given":"A. M.","non-dropping-particle":"","parse-names":false,"suffix":""},{"dropping-particle":"","family":"Howley","given":"L. D.","non-dropping-particle":"","parse-names":false,"suffix":""},{"dropping-particle":"","family":"Bean","given":"E.","non-dropping-particle":"","parse-names":false,"suffix":""},{"dropping-particle":"","family":"Myers","given":"E. M.","non-dropping-particle":"","parse-names":false,"suffix":""},{"dropping-particle":"","family":"Stefanidis","given":"D.","non-dropping-particle":"","parse-names":false,"suffix":""}],"container-title":"American Journal of Surgery","id":"ITEM-1","issue":"2","issued":{"date-parts":[["2018"]]},"page":"214-221","title":"Mental skills training effectively minimizes operative performance deterioration under stressful conditions: Results of a randomized controlled study","type":"article-journal","volume":"215"},"uris":["http://www.mendeley.com/documents/?uuid=a47a8e92-72be-4a11-bdf6-9deeb867cf51"]}],"mendeley":{"formattedCitation":"(69)","plainTextFormattedCitation":"(69)","previouslyFormattedCitation":"(69)"},"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(69)</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0DE9C8E1"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Anton et al., 2018</w:t>
            </w:r>
          </w:p>
        </w:tc>
        <w:tc>
          <w:tcPr>
            <w:tcW w:w="1931" w:type="dxa"/>
            <w:tcBorders>
              <w:top w:val="nil"/>
              <w:left w:val="single" w:sz="8" w:space="0" w:color="auto"/>
              <w:bottom w:val="single" w:sz="4" w:space="0" w:color="auto"/>
              <w:right w:val="single" w:sz="4" w:space="0" w:color="auto"/>
            </w:tcBorders>
            <w:noWrap/>
            <w:vAlign w:val="bottom"/>
            <w:hideMark/>
          </w:tcPr>
          <w:p w14:paraId="5CCC2B6A"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269" w:type="dxa"/>
            <w:tcBorders>
              <w:top w:val="nil"/>
              <w:left w:val="single" w:sz="8" w:space="0" w:color="auto"/>
              <w:bottom w:val="single" w:sz="4" w:space="0" w:color="auto"/>
              <w:right w:val="single" w:sz="4" w:space="0" w:color="auto"/>
            </w:tcBorders>
            <w:noWrap/>
            <w:vAlign w:val="bottom"/>
            <w:hideMark/>
          </w:tcPr>
          <w:p w14:paraId="1FAA7862"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69D914ED"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42" w:type="dxa"/>
            <w:tcBorders>
              <w:top w:val="nil"/>
              <w:left w:val="single" w:sz="8" w:space="0" w:color="auto"/>
              <w:bottom w:val="single" w:sz="4" w:space="0" w:color="auto"/>
              <w:right w:val="single" w:sz="4" w:space="0" w:color="auto"/>
            </w:tcBorders>
            <w:noWrap/>
            <w:vAlign w:val="bottom"/>
            <w:hideMark/>
          </w:tcPr>
          <w:p w14:paraId="4804B352"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 xml:space="preserve">Low </w:t>
            </w:r>
          </w:p>
        </w:tc>
        <w:tc>
          <w:tcPr>
            <w:tcW w:w="1701" w:type="dxa"/>
            <w:tcBorders>
              <w:top w:val="nil"/>
              <w:left w:val="single" w:sz="8" w:space="0" w:color="auto"/>
              <w:bottom w:val="single" w:sz="4" w:space="0" w:color="auto"/>
              <w:right w:val="single" w:sz="4" w:space="0" w:color="auto"/>
            </w:tcBorders>
            <w:noWrap/>
            <w:vAlign w:val="bottom"/>
            <w:hideMark/>
          </w:tcPr>
          <w:p w14:paraId="776027DA"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3EE5D8F2"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0609DF" w14:paraId="702CEAF2" w14:textId="77777777" w:rsidTr="005A1E56">
        <w:trPr>
          <w:trHeight w:val="288"/>
        </w:trPr>
        <w:tc>
          <w:tcPr>
            <w:tcW w:w="983" w:type="dxa"/>
            <w:tcBorders>
              <w:top w:val="nil"/>
              <w:left w:val="single" w:sz="8" w:space="0" w:color="auto"/>
              <w:bottom w:val="single" w:sz="4" w:space="0" w:color="auto"/>
              <w:right w:val="single" w:sz="4" w:space="0" w:color="auto"/>
            </w:tcBorders>
          </w:tcPr>
          <w:p w14:paraId="010A211E"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{"citationItems":[{"id":"ITEM-1","itemData":{"DOI":"10.1016/j.amjsurg.2017.11.040","ISSN":"18791883","PMID":"29275906","abstract":"Background: Stress management programs improve efficacy in aviation, military, and professional sports; however, similar educational strategies have not been adopted in surgical training. We have evaluated the effectiveness of a stress management program for surgical residents. Methods: From 2011 to 2016, 137 surgical residents participated in a prospective, blinded study. The intervention group (n = 65) underwent training in self-awareness, focus, relaxation, positive self-talk, visualization, and team building. All participants subsequently completed a high-stress trauma simulation, requiring diagnosis and management of a life-threatening problem. Study endpoints included measures of procedural efficiency, and physiologic and subjective measurements of anxiety. Results: Residents with stress training came to an accurate diagnosis 21% faster than controls (mean diagnosis time: 2.2 vs. 2.8 min; p = 0.04), and performed with greater technical accuracy (mean OSAT scores: 9.4 vs. 8.9; p = 0.03). Both cohorts exhibited similar physiologic and subjective anxiety metrics after simulation. Conclusions: Stress management education may enhance technical performance in surgical trainees during simulation. This underscores the need for early, comprehensive stress training in surgical residency.","author":[{"dropping-particle":"","family":"Goldberg","given":"Michael B.","non-dropping-particle":"","parse-names":false,"suffix":""},{"dropping-particle":"","family":"Mazzei","given":"Michael","non-dropping-particle":"","parse-names":false,"suffix":""},{"dropping-particle":"","family":"Maher","given":"Zoë","non-dropping-particle":"","parse-names":false,"suffix":""},{"dropping-particle":"","family":"Fish","given":"Joel H.","non-dropping-particle":"","parse-names":false,"suffix":""},{"dropping-particle":"","family":"Milner","given":"Richard","non-dropping-particle":"","parse-names":false,"suffix":""},{"dropping-particle":"","family":"Yu","given":"Daohai","non-dropping-particle":"","parse-names":false,"suffix":""},{"dropping-particle":"","family":"Goldberg","given":"Amy J.","non-dropping-particle":"","parse-names":false,"suffix":""}],"container-title":"American Journal of Surgery","id":"ITEM-1","issue":"3","issued":{"date-parts":[["2018"]]},"page":"618-623","title":"Optimizing performance through stress training — An educational strategy for surgical residents","type":"article-journal","volume":"216"},"uris":["http://www.mendeley.com/documents/?uuid=eff086f4-e3dc-4749-9c8d-6c2da21e564f"]}],"mendeley":{"formattedCitation":"(70)","plainTextFormattedCitation":"(70)","previouslyFormattedCitation":"(70)"},"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(70)</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7CA52C60"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Goldberg et al., 2018</w:t>
            </w:r>
          </w:p>
        </w:tc>
        <w:tc>
          <w:tcPr>
            <w:tcW w:w="1931" w:type="dxa"/>
            <w:tcBorders>
              <w:top w:val="nil"/>
              <w:left w:val="single" w:sz="8" w:space="0" w:color="auto"/>
              <w:bottom w:val="single" w:sz="4" w:space="0" w:color="auto"/>
              <w:right w:val="single" w:sz="4" w:space="0" w:color="auto"/>
            </w:tcBorders>
            <w:noWrap/>
            <w:vAlign w:val="bottom"/>
            <w:hideMark/>
          </w:tcPr>
          <w:p w14:paraId="67A44CB8"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269" w:type="dxa"/>
            <w:tcBorders>
              <w:top w:val="nil"/>
              <w:left w:val="single" w:sz="8" w:space="0" w:color="auto"/>
              <w:bottom w:val="single" w:sz="4" w:space="0" w:color="auto"/>
              <w:right w:val="single" w:sz="4" w:space="0" w:color="auto"/>
            </w:tcBorders>
            <w:noWrap/>
            <w:vAlign w:val="bottom"/>
            <w:hideMark/>
          </w:tcPr>
          <w:p w14:paraId="25201F2A"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5C584C72"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42" w:type="dxa"/>
            <w:tcBorders>
              <w:top w:val="nil"/>
              <w:left w:val="single" w:sz="8" w:space="0" w:color="auto"/>
              <w:bottom w:val="single" w:sz="4" w:space="0" w:color="auto"/>
              <w:right w:val="single" w:sz="4" w:space="0" w:color="auto"/>
            </w:tcBorders>
            <w:noWrap/>
            <w:vAlign w:val="bottom"/>
            <w:hideMark/>
          </w:tcPr>
          <w:p w14:paraId="4279A87A"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701" w:type="dxa"/>
            <w:tcBorders>
              <w:top w:val="nil"/>
              <w:left w:val="single" w:sz="8" w:space="0" w:color="auto"/>
              <w:bottom w:val="single" w:sz="4" w:space="0" w:color="auto"/>
              <w:right w:val="single" w:sz="4" w:space="0" w:color="auto"/>
            </w:tcBorders>
            <w:noWrap/>
            <w:vAlign w:val="bottom"/>
            <w:hideMark/>
          </w:tcPr>
          <w:p w14:paraId="50411BD9"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6CD63144"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5372EC" w14:paraId="3C042A70" w14:textId="77777777" w:rsidTr="005A1E56">
        <w:trPr>
          <w:trHeight w:val="288"/>
        </w:trPr>
        <w:tc>
          <w:tcPr>
            <w:tcW w:w="983" w:type="dxa"/>
            <w:tcBorders>
              <w:top w:val="nil"/>
              <w:left w:val="single" w:sz="8" w:space="0" w:color="auto"/>
              <w:bottom w:val="single" w:sz="4" w:space="0" w:color="auto"/>
              <w:right w:val="single" w:sz="4" w:space="0" w:color="auto"/>
            </w:tcBorders>
          </w:tcPr>
          <w:p w14:paraId="063E3FD4"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{"citationItems":[{"id":"ITEM-1","itemData":{"DOI":"10.1097/SLA.0000000000002289","ISSN":"15281140","PMID":"28489681","abstract":"Objective: To investigate the impact of time pressure (TP) on prefrontal activation and technical performance in surgical residents during a laparoscopic suturing task. Background: Neural mechanisms enabling surgeons to maintain performance and cope with operative stressors are unclear. The prefrontal cortex (PFC) is implicated due to its role in attention, concentration, and performance monitoring. Methods: A total of 33 residents [Postgraduate Year (PGY)1-2 = 15, PGY3-4 = 8, and PGY5 = 10] performed a laparoscopic suturing task under \"self-paced\" (SP) and \"TP\" conditions (TP = maximum 2 minutes per knot). Subjective workload was quantified using the Surgical Task Load Index. PFC activation was inferred using optical neuroimaging. Technical skill was assessed using progression scores (au), error scores (mm), leak volumes (mL), and knot tensile strengths (N). Results: TP led to greater perceived workload amongst all residents (mean Surgical Task Load Index score ± SD: PGY1-2: SP = 160.3 ± 24.8 vs TP = 202.1 ± 45.4, P &lt; 0.001; PGY3-4: SP = 123.0 ± 52.0 vs TP = 172.5 ± 43.1, P &lt; 0.01; PGY5: SP = 105.8 ± 55.3 vs TP = 159.1 ± 63.1, P &lt; 0.05). Amongst PGY1-2 and PGY3-4, deterioration in task progression, error scores and knot tensile strength (P &lt; 0.05), and diminished PFC activation was observed under TP. In PGY5, TP resulted in inferior task progression and error scores (P &lt; 0.05), but preservation of knot tensile strength. Furthermore, PGY5 exhibited less attenuation of PFC activation under TP, and greater activation than either PGY1-2 or PGY3-4 under both experimental conditions (P &lt; 0.05). Conclusions: Senior residents cope better with temporal demands and exhibit greater technical performance stability under pressure, possibly due to sustained PFC activation and greater task engagement. Future work should seek to develop training strategies that recruit prefrontal resources, enhance task engagement, and improve performance under pressure.","author":[{"dropping-particle":"","family":"Modi","given":"Hemel N.","non-dropping-particle":"","parse-names":false,"suffix":""},{"dropping-particle":"","family":"Singh","given":"Harsimrat","non-dropping-particle":"","parse-names":false,"suffix":""},{"dropping-particle":"","family":"Orihuela-Espina","given":"Felipe","non-dropping-particle":"","parse-names":false,"suffix":""},{"dropping-particle":"","family":"Athanasiou","given":"Thanos","non-dropping-particle":"","parse-names":false,"suffix":""},{"dropping-particle":"","family":"Fiorentino","given":"Francesca","non-dropping-particle":"","parse-names":false,"suffix":""},{"dropping-particle":"","family":"Yang","given":"Guang Zhong","non-dropping-particle":"","parse-names":false,"suffix":""},{"dropping-particle":"","family":"Darzi","given":"Ara","non-dropping-particle":"","parse-names":false,"suffix":""},{"dropping-particle":"","family":"Leff","given":"Daniel R.","non-dropping-particle":"","parse-names":false,"suffix":""}],"container-title":"Annals of Surgery","id":"ITEM-1","issue":"4","issued":{"date-parts":[["2018"]]},"page":"683-691","title":"Temporal Stress in the Operating Room: Brain Engagement Promotes \"coping\" and Disengagement Prompts \"choking\"","type":"article-journal","volume":"267"},"uris":["http://www.mendeley.com/documents/?uuid=52174f59-cf48-4b4c-806e-b56b3dfda10d"]}],"mendeley":{"formattedCitation":"(71)","plainTextFormattedCitation":"(71)","previouslyFormattedCitation":"(71)"},"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(71)</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1D234983"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Modi et al., 2018</w:t>
            </w:r>
          </w:p>
        </w:tc>
        <w:tc>
          <w:tcPr>
            <w:tcW w:w="1931" w:type="dxa"/>
            <w:tcBorders>
              <w:top w:val="nil"/>
              <w:left w:val="single" w:sz="8" w:space="0" w:color="auto"/>
              <w:bottom w:val="single" w:sz="4" w:space="0" w:color="auto"/>
              <w:right w:val="single" w:sz="4" w:space="0" w:color="auto"/>
            </w:tcBorders>
            <w:noWrap/>
            <w:vAlign w:val="bottom"/>
            <w:hideMark/>
          </w:tcPr>
          <w:p w14:paraId="6DC7E17B"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2822230C"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40A74479"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6BFAA9E0"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0A53E100"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4EEB82C2"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Some concerns</w:t>
            </w:r>
          </w:p>
        </w:tc>
      </w:tr>
      <w:tr w:rsidR="00D724F8" w:rsidRPr="000609DF" w14:paraId="12591061" w14:textId="77777777" w:rsidTr="005A1E56">
        <w:trPr>
          <w:trHeight w:val="288"/>
        </w:trPr>
        <w:tc>
          <w:tcPr>
            <w:tcW w:w="983" w:type="dxa"/>
            <w:tcBorders>
              <w:top w:val="nil"/>
              <w:left w:val="single" w:sz="8" w:space="0" w:color="auto"/>
              <w:bottom w:val="single" w:sz="4" w:space="0" w:color="auto"/>
              <w:right w:val="single" w:sz="4" w:space="0" w:color="auto"/>
            </w:tcBorders>
          </w:tcPr>
          <w:p w14:paraId="06DCDBFD"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{"citationItems":[{"id":"ITEM-1","itemData":{"DOI":"10.1007/s00464-018-6163-7","ISSN":"14322218","PMID":"29602994","abstract":"Background: We examined how problem-solving coaching impacts trainee skill acquisition and physiologic stress as well as how trainee sensitivity to feedback, known as self-monitoring ability, impacts coaching effectiveness. Methods: Medical students completed a pre-training demographics questionnaire, a 12-item self-monitoring ability scale (1 = always false, 5 = always true), and baseline FLS Task 5 with physiologic sensors. After watching a laparoscopic suturing instructional video, students practiced the task for 30 min, either with a surgical coach, or alone, depending on condition. The coach logged frequency of coaching behaviors according to a task-specific coaching script. Trainees then completed FLS Task 5 with physiologic sensors, a post-training questionnaire, and a 12-item coaching quality evaluation (1 = poor, 5 = very good). Results: Twenty-four students (age 24.5 ± 1.4; 54% men; 58% MS4) participated in the study. All were fairly high self-monitors (3.8 ± 0.76). No differences in baseline suturing skills between the groups emerged. Improvement in the coaching group‘s suturing (N = 12; 285.0 ± 79.9) was significantly higher than the control group (N = 12; 200.9 ± 110.3). One measure of physiologic stress (rMSSD) was significantly higher in the coaching group. Trainees who received more coaching demonstrated larger improvements (r = 0.7, p &lt; 0.05). Overall ,perceived quality of the coaching relationship was high (4.4 ± 0.6). There was no correlation between trainee self-monitoring ability and skill improvement. Conclusions: This work suggests that coaching may increase heart rate variability of trainees, indicating coping well with training. Trainee disposition toward feedback did not play a role in this relationship.","author":[{"dropping-particle":"","family":"Timberlake","given":"Matthew D.","non-dropping-particle":"","parse-names":false,"suffix":""},{"dropping-particle":"","family":"Stefanidis","given":"Dimitrios","non-dropping-particle":"","parse-names":false,"suffix":""},{"dropping-particle":"","family":"Gardner","given":"Aimee K.","non-dropping-particle":"","parse-names":false,"suffix":""}],"container-title":"Surgical Endoscopy","id":"ITEM-1","issue":"10","issued":{"date-parts":[["2018"]]},"page":"4183-4190","title":"Examining the impact of surgical coaching on trainee physiologic response and basic skill acquisition","type":"article-journal","volume":"32"},"uris":["http://www.mendeley.com/documents/?uuid=644ddd26-2cb7-466a-9b5f-b0f20d7b68b4"]}],"mendeley":{"formattedCitation":"(72)","plainTextFormattedCitation":"(72)","previouslyFormattedCitation":"(72)"},"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(72)</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61F02F75"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Timberlake et al., 2018</w:t>
            </w:r>
          </w:p>
        </w:tc>
        <w:tc>
          <w:tcPr>
            <w:tcW w:w="1931" w:type="dxa"/>
            <w:tcBorders>
              <w:top w:val="nil"/>
              <w:left w:val="single" w:sz="8" w:space="0" w:color="auto"/>
              <w:bottom w:val="single" w:sz="4" w:space="0" w:color="auto"/>
              <w:right w:val="single" w:sz="4" w:space="0" w:color="auto"/>
            </w:tcBorders>
            <w:noWrap/>
            <w:vAlign w:val="bottom"/>
            <w:hideMark/>
          </w:tcPr>
          <w:p w14:paraId="56597E55"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269" w:type="dxa"/>
            <w:tcBorders>
              <w:top w:val="nil"/>
              <w:left w:val="single" w:sz="8" w:space="0" w:color="auto"/>
              <w:bottom w:val="single" w:sz="4" w:space="0" w:color="auto"/>
              <w:right w:val="single" w:sz="4" w:space="0" w:color="auto"/>
            </w:tcBorders>
            <w:noWrap/>
            <w:vAlign w:val="bottom"/>
            <w:hideMark/>
          </w:tcPr>
          <w:p w14:paraId="4250731F"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235D49D9"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4CE6DEA7"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4FF877D2"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0A199440"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0609DF" w14:paraId="2BCF4843" w14:textId="77777777" w:rsidTr="005A1E56">
        <w:trPr>
          <w:trHeight w:val="288"/>
        </w:trPr>
        <w:tc>
          <w:tcPr>
            <w:tcW w:w="983" w:type="dxa"/>
            <w:tcBorders>
              <w:top w:val="nil"/>
              <w:left w:val="single" w:sz="8" w:space="0" w:color="auto"/>
              <w:bottom w:val="single" w:sz="4" w:space="0" w:color="auto"/>
              <w:right w:val="single" w:sz="4" w:space="0" w:color="auto"/>
            </w:tcBorders>
          </w:tcPr>
          <w:p w14:paraId="7DD60465"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{"citationItems":[{"id":"ITEM-1","itemData":{"DOI":"10.1016/j.amjsurg.2017.05.015","ISSN":"18791883","PMID":"28615137","abstract":"Background: Stress may negatively affect surgeons’ performance during surgical procedures, jeopardizing patient safety. For measuring stress, complex methods are used that cannot record stress real time. This study reports stress measurements in surgeons and residents using a novel patch sensor to identify activities and risk factors of stress. Methods: In this explorative study, surgeons and residents wore the HealthPatch™ during all daily activities for 2–3 days. The patch recorded heart rate variability (HRV), and real time stress percentage using a validated algorithm of heart rate (HR) and HRV. The patch was compared with self perceived stress reporting using STAI. Results: A significant increase in HRV and stress percentage was shown in twenty surgeons and residents during surgery in comparison with other activities. Consultants showed lower stress levels while operating compared to fellows and residents. Stress according to the patch did not correlate with STAI outcome. Conclusions: Continuous stress monitoring using a wearable sensor patch reveals relevant data on actual stress of surgeons and residents. Stress was highest performing an operation, particularly in fellows and residents.","author":[{"dropping-particle":"","family":"Weenk","given":"Mariska","non-dropping-particle":"","parse-names":false,"suffix":""},{"dropping-particle":"","family":"Alken","given":"Alexander P.B.","non-dropping-particle":"","parse-names":false,"suffix":""},{"dropping-particle":"","family":"Engelen","given":"Lucien J.L.P.G.","non-dropping-particle":"","parse-names":false,"suffix":""},{"dropping-particle":"","family":"Bredie","given":"Sebastian J.H.","non-dropping-particle":"","parse-names":false,"suffix":""},{"dropping-particle":"","family":"Belt","given":"Tom H.","non-dropping-particle":"van de","parse-names":false,"suffix":""},{"dropping-particle":"","family":"Goor","given":"Harry","non-dropping-particle":"van","parse-names":false,"suffix":""}],"container-title":"American Journal of Surgery","id":"ITEM-1","issue":"2","issued":{"date-parts":[["2018"]]},"page":"361-368","title":"Stress measurement in surgeons and residents using a smart patch","type":"article-journal","volume":"216"},"uris":["http://www.mendeley.com/documents/?uuid=0f83f548-5844-4e09-9c20-73803e7182ec"]}],"mendeley":{"formattedCitation":"(120)","plainTextFormattedCitation":"(120)","previouslyFormattedCitation":"(120)"},"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(120)</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16738883" w14:textId="77777777" w:rsidR="00D724F8" w:rsidRPr="000609DF" w:rsidRDefault="00D724F8" w:rsidP="005A1E56">
            <w:pPr>
              <w:spacing w:after="0" w:line="240" w:lineRule="auto"/>
              <w:rPr>
                <w:rFonts w:ascii="Arial" w:eastAsia="Times New Roman" w:hAnsi="Arial" w:cs="Arial"/>
                <w:color w:val="000000"/>
                <w:sz w:val="16"/>
                <w:szCs w:val="16"/>
                <w:lang w:eastAsia="es-ES"/>
              </w:rPr>
            </w:pPr>
            <w:proofErr w:type="spellStart"/>
            <w:r w:rsidRPr="70FF01BB">
              <w:rPr>
                <w:rFonts w:ascii="Arial" w:eastAsia="Times New Roman" w:hAnsi="Arial" w:cs="Arial"/>
                <w:color w:val="000000" w:themeColor="text1"/>
                <w:sz w:val="16"/>
                <w:szCs w:val="16"/>
              </w:rPr>
              <w:t>Weenk</w:t>
            </w:r>
            <w:proofErr w:type="spellEnd"/>
            <w:r w:rsidRPr="70FF01BB">
              <w:rPr>
                <w:rFonts w:ascii="Arial" w:eastAsia="Times New Roman" w:hAnsi="Arial" w:cs="Arial"/>
                <w:color w:val="000000" w:themeColor="text1"/>
                <w:sz w:val="16"/>
                <w:szCs w:val="16"/>
              </w:rPr>
              <w:t xml:space="preserve"> et al., 2018</w:t>
            </w:r>
          </w:p>
        </w:tc>
        <w:tc>
          <w:tcPr>
            <w:tcW w:w="1931" w:type="dxa"/>
            <w:tcBorders>
              <w:top w:val="nil"/>
              <w:left w:val="single" w:sz="8" w:space="0" w:color="auto"/>
              <w:bottom w:val="single" w:sz="4" w:space="0" w:color="auto"/>
              <w:right w:val="single" w:sz="4" w:space="0" w:color="auto"/>
            </w:tcBorders>
            <w:noWrap/>
            <w:vAlign w:val="bottom"/>
            <w:hideMark/>
          </w:tcPr>
          <w:p w14:paraId="6948B9C4"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260B8C8A"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241B5909"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42" w:type="dxa"/>
            <w:tcBorders>
              <w:top w:val="nil"/>
              <w:left w:val="single" w:sz="8" w:space="0" w:color="auto"/>
              <w:bottom w:val="single" w:sz="4" w:space="0" w:color="auto"/>
              <w:right w:val="single" w:sz="4" w:space="0" w:color="auto"/>
            </w:tcBorders>
            <w:noWrap/>
            <w:vAlign w:val="bottom"/>
            <w:hideMark/>
          </w:tcPr>
          <w:p w14:paraId="48336C03"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701" w:type="dxa"/>
            <w:tcBorders>
              <w:top w:val="nil"/>
              <w:left w:val="single" w:sz="8" w:space="0" w:color="auto"/>
              <w:bottom w:val="single" w:sz="4" w:space="0" w:color="auto"/>
              <w:right w:val="single" w:sz="4" w:space="0" w:color="auto"/>
            </w:tcBorders>
            <w:noWrap/>
            <w:vAlign w:val="bottom"/>
            <w:hideMark/>
          </w:tcPr>
          <w:p w14:paraId="77C37C56"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2185F9DD"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5372EC" w14:paraId="7924A365" w14:textId="77777777" w:rsidTr="005A1E56">
        <w:trPr>
          <w:trHeight w:val="288"/>
        </w:trPr>
        <w:tc>
          <w:tcPr>
            <w:tcW w:w="983" w:type="dxa"/>
            <w:tcBorders>
              <w:top w:val="nil"/>
              <w:left w:val="single" w:sz="8" w:space="0" w:color="auto"/>
              <w:bottom w:val="single" w:sz="4" w:space="0" w:color="auto"/>
              <w:right w:val="single" w:sz="4" w:space="0" w:color="auto"/>
            </w:tcBorders>
          </w:tcPr>
          <w:p w14:paraId="4A13F5ED" w14:textId="77777777" w:rsidR="00D724F8" w:rsidRPr="005372EC" w:rsidRDefault="00D724F8" w:rsidP="005A1E56">
            <w:pPr>
              <w:rPr>
                <w:rFonts w:ascii="Arial" w:hAnsi="Arial" w:cs="Arial"/>
                <w:sz w:val="16"/>
                <w:szCs w:val="16"/>
              </w:rPr>
            </w:pPr>
            <w:r w:rsidRPr="70FF01BB">
              <w:rPr>
                <w:rFonts w:ascii="Arial" w:hAnsi="Arial" w:cs="Arial"/>
                <w:sz w:val="16"/>
                <w:szCs w:val="16"/>
              </w:rPr>
              <w:lastRenderedPageBreak/>
              <w:fldChar w:fldCharType="begin" w:fldLock="1"/>
            </w:r>
            <w:r w:rsidRPr="70FF01BB">
              <w:rPr>
                <w:rFonts w:ascii="Arial" w:hAnsi="Arial" w:cs="Arial"/>
                <w:sz w:val="16"/>
                <w:szCs w:val="16"/>
              </w:rPr>
              <w:instrText>ADDIN CSL_CITATION {"citationItems":[{"id":"ITEM-1","itemData":{"DOI":"10.1097/SLA.0000000000002341","ISSN":"15281140","PMID":"28650360","abstract":"Objective: We sought to develop and evaluate a video-based coaching program for board-eligible/certified surgeons. Summary Background Data: Multiple disciplines utilize coaching for continuous professional development; however, coaching is not routinely employed for practicing surgeons. Methods: Peer-nominated surgeons were trained as coaches then paired with participant surgeons. After setting goals, each coaching pair reviewed video-recorded operations performed by the participating surgeon. Coaching sessions were audio-recorded, transcribed, and coded to identify topics discussed. The effectiveness with which our coaches were able to utilize the core principles and activities of coaching was evaluated using 3 different approaches: self-evaluation; evaluation by the participants; and assessment by the study team. Surveys of participating surgeons and coach-targeted interviews provided general feedback on the program. All measures utilized a 5-point Likert scale format ranging from 1 (low) to 5 (high). Results: Coach-participant surgeon pairs targeted technical, cognitive, and interpersonal aspects of performance. Other topics included managing intraoperative stress. Mean objective ratings of coach effectiveness was 3.1 ± 0.7, ranging from 2.0 to 5.0 on specific activities of coaching. Subjective ratings by coaches and participants were consistently higher. Coaches reported that the training provided effectively prepared them to facilitate coaching sessions. Participants were similarly positive about interactions with their coaches. Identified barriers were related to audio-video technology and scheduling of sessions. Overall, participants were satisfied with their experience (mean 4.4 ± 0.7) and found the coaching program valuable (mean 4.7 ± 0.7). Conclusions: This is the first report of cross-institutional surgical coaching for the continuous professional development of practicing surgeons, demonstrating perceived value among participants, as well as logistical challenges for implementing this evidence-based program. Future research is necessary to evaluate the impact of coaching on practice change and patient outcomes.","author":[{"dropping-particle":"","family":"Greenberg","given":"Caprice C.","non-dropping-particle":"","parse-names":false,"suffix":""},{"dropping-particle":"","family":"Ghousseini","given":"Hala N.","non-dropping-particle":"","parse-names":false,"suffix":""},{"dropping-particle":"","family":"Pavuluri Quamme","given":"Sudha R.","non-dropping-particle":"","parse-names":false,"suffix":""},{"dropping-particle":"","family":"Beasley","given":"Heather L.","non-dropping-particle":"","parse-names":false,"suffix":""},{"dropping-particle":"","family":"Frasier","given":"Lane L.","non-dropping-particle":"","parse-names":false,"suffix":""},{"dropping-particle":"","family":"Brys","given":"Nicole A.","non-dropping-particle":"","parse-names":false,"suffix":""},{"dropping-particle":"","family":"Dombrowski","given":"Janet C.","non-dropping-particle":"","parse-names":false,"suffix":""},{"dropping-particle":"","family":"Wiegmann","given":"Douglas A.","non-dropping-particle":"","parse-names":false,"suffix":""}],"container-title":"Annals of Surgery","id":"ITEM-1","issue":"5","issued":{"date-parts":[["2018"]]},"page":"868-873","title":"A Statewide Surgical Coaching Program Provides Opportunity for Continuous Professional Development","type":"article-journal","volume":"267"},"uris":["http://www.mendeley.com/documents/?uuid=a60ae7b7-24aa-411c-916f-f4d9564822a4"]}],"mendeley":{"formattedCitation":"(118)","plainTextFormattedCitation":"(118)","previouslyFormattedCitation":"(118)"},"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(118)</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7ACE58CA"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Greenberg et al., 2018</w:t>
            </w:r>
          </w:p>
        </w:tc>
        <w:tc>
          <w:tcPr>
            <w:tcW w:w="1931" w:type="dxa"/>
            <w:tcBorders>
              <w:top w:val="nil"/>
              <w:left w:val="single" w:sz="8" w:space="0" w:color="auto"/>
              <w:bottom w:val="single" w:sz="4" w:space="0" w:color="auto"/>
              <w:right w:val="single" w:sz="4" w:space="0" w:color="auto"/>
            </w:tcBorders>
            <w:noWrap/>
            <w:vAlign w:val="bottom"/>
            <w:hideMark/>
          </w:tcPr>
          <w:p w14:paraId="59313976"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50765C47"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67BEE5A9"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217D6461"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6280AADD"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7D27C104"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Some concerns</w:t>
            </w:r>
          </w:p>
        </w:tc>
      </w:tr>
      <w:tr w:rsidR="00D724F8" w:rsidRPr="005372EC" w14:paraId="1B49737B" w14:textId="77777777" w:rsidTr="005A1E56">
        <w:trPr>
          <w:trHeight w:val="288"/>
        </w:trPr>
        <w:tc>
          <w:tcPr>
            <w:tcW w:w="983" w:type="dxa"/>
            <w:tcBorders>
              <w:top w:val="nil"/>
              <w:left w:val="single" w:sz="8" w:space="0" w:color="auto"/>
              <w:bottom w:val="single" w:sz="4" w:space="0" w:color="auto"/>
              <w:right w:val="single" w:sz="4" w:space="0" w:color="auto"/>
            </w:tcBorders>
          </w:tcPr>
          <w:p w14:paraId="0D9D5E18"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{"citationItems":[{"id":"ITEM-1","itemData":{"DOI":"10.1186/s12909-019-1752-2","ISSN":"14726920","PMID":"31438934","abstract":"Background: Difficult surgical procedures may result in a higher mental workload, leading to increased fatigue and subsequent errors. This study was aimed to investigate the effect of repeated simulation training in ureterorenoscopy in a high-fidelity setting on the performance and mental workload of novice operators. Methods: Medical students voluntarily participated in the present simulation study. After a didactic and video-based lecture, they underwent simulation training involving a renal stone case, including a rigid cystoscope component (task 1, performing a WHO checklist, assembling a scope, and insertion of a guide-wire and an access sheath after examining the bladder) and a flexible ureterorenoscope component (task 2, retrieving a stone located in the upper calyx using a basket after inspecting the upper, middle, and lower calyx). Training was performed in a mock operating theater. Technical skills were assessed by one author (an experienced urologist) onsite using an Objective Structured Assessment of Technical Skills (OSATS) score at each training session. The mental workload was subjectively evaluated by the National Aeronautics and Space Administration Task Load Index (NASA-TLX) questionnaire after each training session. Results: Seventeen students completed a minimum of 6 training sessions (male: female = 10: 7, median age of 22) over a median of 21 days (range, 10-32). In both tasks 1 and 2, the OSATS score improved over the 6 sessions with evidence of plateauing (MANOVA model, task 1: p &lt; 0.0001, task 2: p &lt; 0.0001). In contrast, the NASA-TLX score persistently decreased without plateauing (task 1: p = 0.0005, task 2: p = 0.0028). Conclusions: Under repeated simulation training in ureterorenoscopy in a high-fidelity setting, participants showed a continual decrease of the mental workload, while the improvement of technical skills reached a plateau over the 6 sessions. Our study showed the important benefit of simulation training to reduce the mental workload by repeated scenario training before actual clinical practice.","author":[{"dropping-particle":"","family":"Abe","given":"Takashige","non-dropping-particle":"","parse-names":false,"suffix":""},{"dropping-particle":"","family":"Dar","given":"Faizan","non-dropping-particle":"","parse-names":false,"suffix":""},{"dropping-particle":"","family":"Amnattrakul","given":"Passakorn","non-dropping-particle":"","parse-names":false,"suffix":""},{"dropping-particle":"","family":"Aydin","given":"Abdullatif","non-dropping-particle":"","parse-names":false,"suffix":""},{"dropping-particle":"","family":"Raison","given":"Nicholas","non-dropping-particle":"","parse-names":false,"suffix":""},{"dropping-particle":"","family":"Shinohara","given":"Nobuo","non-dropping-particle":"","parse-names":false,"suffix":""},{"dropping-particle":"","family":"Khan","given":"M.S. Muhammad Shamim","non-dropping-particle":"","parse-names":false,"suffix":""},{"dropping-particle":"","family":"Ahmed","given":"Kamran","non-dropping-particle":"","parse-names":false,"suffix":""},{"dropping-particle":"","family":"Dasgupta","given":"Prokar","non-dropping-particle":"","parse-names":false,"suffix":""}],"container-title":"BMC Medical Education","id":"ITEM-1","issued":{"date-parts":[["2019"]]},"page":"39","title":"The effect of repeated full immersion simulation training in ureterorenoscopy on mental workload of novice operators","type":"article-journal","volume":"19"},"uris":["http://www.mendeley.com/documents/?uuid=8a404de6-a028-4d8c-b690-474ff4c299f8"]}],"mendeley":{"formattedCitation":"(107)","plainTextFormattedCitation":"(107)","previouslyFormattedCitation":"(107)"},"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(107)</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692F70B2"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Abe et al., 2019</w:t>
            </w:r>
          </w:p>
        </w:tc>
        <w:tc>
          <w:tcPr>
            <w:tcW w:w="1931" w:type="dxa"/>
            <w:tcBorders>
              <w:top w:val="nil"/>
              <w:left w:val="single" w:sz="8" w:space="0" w:color="auto"/>
              <w:bottom w:val="single" w:sz="4" w:space="0" w:color="auto"/>
              <w:right w:val="single" w:sz="4" w:space="0" w:color="auto"/>
            </w:tcBorders>
            <w:noWrap/>
            <w:vAlign w:val="bottom"/>
            <w:hideMark/>
          </w:tcPr>
          <w:p w14:paraId="5C033C6C"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0331DA53"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2A914286"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21B1D425"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 xml:space="preserve">Low </w:t>
            </w:r>
          </w:p>
        </w:tc>
        <w:tc>
          <w:tcPr>
            <w:tcW w:w="1701" w:type="dxa"/>
            <w:tcBorders>
              <w:top w:val="nil"/>
              <w:left w:val="single" w:sz="8" w:space="0" w:color="auto"/>
              <w:bottom w:val="single" w:sz="4" w:space="0" w:color="auto"/>
              <w:right w:val="single" w:sz="4" w:space="0" w:color="auto"/>
            </w:tcBorders>
            <w:noWrap/>
            <w:vAlign w:val="bottom"/>
            <w:hideMark/>
          </w:tcPr>
          <w:p w14:paraId="3E24422B"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100B4457"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0609DF" w14:paraId="6EA0A37F" w14:textId="77777777" w:rsidTr="005A1E56">
        <w:trPr>
          <w:trHeight w:val="288"/>
        </w:trPr>
        <w:tc>
          <w:tcPr>
            <w:tcW w:w="983" w:type="dxa"/>
            <w:tcBorders>
              <w:top w:val="nil"/>
              <w:left w:val="single" w:sz="8" w:space="0" w:color="auto"/>
              <w:bottom w:val="single" w:sz="4" w:space="0" w:color="auto"/>
              <w:right w:val="single" w:sz="4" w:space="0" w:color="auto"/>
            </w:tcBorders>
          </w:tcPr>
          <w:p w14:paraId="6BE00029"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{"citationItems":[{"id":"ITEM-1","itemData":{"DOI":"10.1016/j.jsurg.2018.10.015","ISSN":"18787452","PMID":"30527702","abstract":"Objective: To measure the physiological stress response associated with high-fidelity endovascular team simulation. Design: This is a prospective cohort study. Setting: This study was performed at St Mary's Hospital (Imperial College London, London, UK), in a tertiary setting. Participants: Thirty-five participants (10 vascular surgical residents, 4 surgical interns, 12 theatre nurses, 2 attending vascular surgeons, 6 medical students and 1 technician) were recruited from the Imperial Vascular Unit at St Mary's Hospital, Imperial College London by direct approach. All participants finished the study. Results: Junior surgeons experienced significantly increased sympathetic tone (Low frequency/high frequency (LF/HF) ratio) during team simulation compared to individual simulation (6.01 ± 1.68 vs. 8.32 ± 2.84, p &lt; 0.001). Within team simulation junior surgeons experienced significantly higher heart rate (beats per minute) than their senior counterparts (82 ± 5.83 vs. 76 ± 6.02, p = 0.033). Subjective workload scores (NASA Task Load Index [NASA-TLX]) correlated moderately and significantly with sympathetic tone in surgeons across all stages of simulation. (r = 0.39, p = 0.01). Conclusions: A discrete, measurable increase in stress is experienced by surgeons during high-fidelity endovascular simulation and differentially effects junior surgeons. High-fidelity team simulation may have a role to play in improving nontechnical skill, reducing intra-operative stress, and reducing error.","author":[{"dropping-particle":"","family":"Bakhsh","given":"Ali","non-dropping-particle":"","parse-names":false,"suffix":""},{"dropping-particle":"","family":"Martin","given":"Guy F.J.","non-dropping-particle":"","parse-names":false,"suffix":""},{"dropping-particle":"","family":"Bicknell","given":"Colin D.","non-dropping-particle":"","parse-names":false,"suffix":""},{"dropping-particle":"","family":"Pettengell","given":"Chris","non-dropping-particle":"","parse-names":false,"suffix":""},{"dropping-particle":"","family":"Riga","given":"Celia","non-dropping-particle":"","parse-names":false,"suffix":""}],"container-title":"Journal of Surgical Education","id":"ITEM-1","issue":"3","issued":{"date-parts":[["2019"]]},"page":"864-871","title":"An Evaluation of the Impact of High-Fidelity Endovascular Simulation on Surgeon Stress and Technical Performance","type":"article-journal","volume":"76"},"uris":["http://www.mendeley.com/documents/?uuid=8b2ac781-8971-4bff-a6d8-9f3c844d2c13"]}],"mendeley":{"formattedCitation":"(73)","plainTextFormattedCitation":"(73)","previouslyFormattedCitation":"(73)"},"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(73)</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0B7313DE"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Bakhsh et al., 2019</w:t>
            </w:r>
          </w:p>
        </w:tc>
        <w:tc>
          <w:tcPr>
            <w:tcW w:w="1931" w:type="dxa"/>
            <w:tcBorders>
              <w:top w:val="nil"/>
              <w:left w:val="single" w:sz="8" w:space="0" w:color="auto"/>
              <w:bottom w:val="single" w:sz="4" w:space="0" w:color="auto"/>
              <w:right w:val="single" w:sz="4" w:space="0" w:color="auto"/>
            </w:tcBorders>
            <w:noWrap/>
            <w:vAlign w:val="bottom"/>
            <w:hideMark/>
          </w:tcPr>
          <w:p w14:paraId="58CDDF93"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6D06DF85"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3BB9D858"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63AD7884"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10F543E9"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2C3B00F6"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Some concerns</w:t>
            </w:r>
          </w:p>
        </w:tc>
      </w:tr>
      <w:tr w:rsidR="00D724F8" w:rsidRPr="005372EC" w14:paraId="15ED4757" w14:textId="77777777" w:rsidTr="005A1E56">
        <w:trPr>
          <w:trHeight w:val="288"/>
        </w:trPr>
        <w:tc>
          <w:tcPr>
            <w:tcW w:w="983" w:type="dxa"/>
            <w:tcBorders>
              <w:top w:val="nil"/>
              <w:left w:val="single" w:sz="8" w:space="0" w:color="auto"/>
              <w:bottom w:val="single" w:sz="4" w:space="0" w:color="auto"/>
              <w:right w:val="single" w:sz="4" w:space="0" w:color="auto"/>
            </w:tcBorders>
          </w:tcPr>
          <w:p w14:paraId="23AD3FF1"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{"citationItems":[{"id":"ITEM-1","itemData":{"DOI":"10.1097/MAO.0000000000002187","ISSN":"15374505","PMID":"30870371","abstract":"Objectives:Healthy individuals have significant beat-to-beat variability in heart rate, and this variability decreases with mental stress. We aim to use heart rate variability (HRV) to objectively compare mental stress levels in otologic surgeons at rest and during key portions of procedures.Design:Pilot study.Setting:Operating room and laboratory.Participants:Two neurotology fellows performed six mastoidectomy and facial nerve (FN) dissections in the operating room and six in a cadaver lab while continuous electrocardiograms were measured wirelessly. Five-minute samples were recorded during resting, preoperative, mastoidectomy, and FN dissection. Beat-to-beat time intervals were analyzed in time and frequency domains. The standard deviation of normal beat-to-beat intervals (SDNN) and the ratio of low frequency to high frequency power (LF/HF, measure of sympathetic tone) were calculated. Decreases in SDNN and increases in LF/HF indicate elevated mental stress.Results:Mean resting SDNN was 43.9 ± 9.2 ms, not statistically different from preoperative SDNN (34.1 ± 8.2 ms, p = 0.13). SDNN decreased during mastoidectomy (29.4 ± 11.7 ms) and FN dissection (22.8 ± 3.1 ms), which was significant compared to preoperative values (p = 0.03). Intraoperative LF/HF increased for FN dissection (6.8 ± 2.6) compared to resting (2.2 ± 0.7, p = 0.004), indicating increased sympathetic tone. Mastoid and FN cadaveric procedures resulted in SDNN of 33.6 ± 3.8 and 32.9 ± 4.7 ms, respectively, not statistically different from preoperative values (p = 0.82 and p = 0.94, respectively). Cadaveric FN dissection did not result in increased LF/HF (2.4 ± 0.9) compared to resting (p = 0.94).Conclusions:Decreased HRV and increased sympathetic tone were observed intraoperatively, indicating high levels of mental stress, particularly with FN dissection. Similar changes were not found during cadaveric dissections.","author":[{"dropping-particle":"","family":"Dedmon","given":"Matthew Morris","non-dropping-particle":"","parse-names":false,"suffix":""},{"dropping-particle":"","family":"O'Connell","given":"Brendan Powers","non-dropping-particle":"","parse-names":false,"suffix":""},{"dropping-particle":"","family":"Yawn","given":"Robert James","non-dropping-particle":"","parse-names":false,"suffix":""},{"dropping-particle":"","family":"Kipper-Smith","given":"Adriana","non-dropping-particle":"","parse-names":false,"suffix":""},{"dropping-particle":"","family":"Bennett","given":"Marc Logan","non-dropping-particle":"","parse-names":false,"suffix":""},{"dropping-particle":"","family":"Haynes","given":"David Scott","non-dropping-particle":"","parse-names":false,"suffix":""},{"dropping-particle":"","family":"Rivas","given":"Alejandro","non-dropping-particle":"","parse-names":false,"suffix":""}],"container-title":"Otology and Neurotology","id":"ITEM-1","issue":"4","issued":{"date-parts":[["2019"]]},"page":"529-534","title":"Measuring Mental Stress during Otologic Surgery Using Heart Rate Variability Analysis","type":"article-journal","volume":"40"},"uris":["http://www.mendeley.com/documents/?uuid=6d846105-58d3-4104-abc2-ce3af00182b1"]}],"mendeley":{"formattedCitation":"(74)","plainTextFormattedCitation":"(74)","previouslyFormattedCitation":"(74)"},"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(74)</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487ABD51"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Dedmon et al., 2019</w:t>
            </w:r>
          </w:p>
        </w:tc>
        <w:tc>
          <w:tcPr>
            <w:tcW w:w="1931" w:type="dxa"/>
            <w:tcBorders>
              <w:top w:val="nil"/>
              <w:left w:val="single" w:sz="8" w:space="0" w:color="auto"/>
              <w:bottom w:val="single" w:sz="4" w:space="0" w:color="auto"/>
              <w:right w:val="single" w:sz="4" w:space="0" w:color="auto"/>
            </w:tcBorders>
            <w:noWrap/>
            <w:vAlign w:val="bottom"/>
            <w:hideMark/>
          </w:tcPr>
          <w:p w14:paraId="27BDB22E"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33695BD0"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6BF410E1"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0D386B2C"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48742BF5"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2BC73FF4"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Some concerns</w:t>
            </w:r>
          </w:p>
        </w:tc>
      </w:tr>
      <w:tr w:rsidR="00D724F8" w:rsidRPr="005372EC" w14:paraId="2025727F" w14:textId="77777777" w:rsidTr="005A1E56">
        <w:trPr>
          <w:trHeight w:val="288"/>
        </w:trPr>
        <w:tc>
          <w:tcPr>
            <w:tcW w:w="983" w:type="dxa"/>
            <w:tcBorders>
              <w:top w:val="nil"/>
              <w:left w:val="single" w:sz="8" w:space="0" w:color="auto"/>
              <w:bottom w:val="single" w:sz="4" w:space="0" w:color="auto"/>
              <w:right w:val="single" w:sz="4" w:space="0" w:color="auto"/>
            </w:tcBorders>
          </w:tcPr>
          <w:p w14:paraId="4AD683F6"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{"citationItems":[{"id":"ITEM-1","itemData":{"DOI":"10.2478/folmed-2019-0001","ISSN":"13142143","PMID":"31237843","abstract":"BACKGROUND: Stress associated with learning of a psychomotor task can influence the trainees learning ability. Surgical simulation is a validated training milieu designed to replicate real-life situations, prevent biases and provide objective metrics. However, the complexity of stress mechanisms and the absence of a reliable detection method make stress estimation difficult to quantify and to interpret. AIM: a) To assess the feasibility of a new watch-sized device to noninvasively measure stress parameters in novices during a simulation task and b) to compare its derived cardiac stress parameters to those of an ambulatory Holter monitor. MATERIALS AND METHODS: Twenty-one novices were trained on a basic skills module. During base line, exercise, and recovery phases, all subjects wore a wearable device and data regarding blood volume pressure, heart rate, inter beat interval, electrodermal activity, and skin temperature were recorded. Additionally, Holter Monitoring was used to concomitantly capture heart rate, R-R intervals and heart rate variability. Before and after each experiment, all subjects completed the short, six-item STAI scale. RESULTS: Data analysis showed: a) when compared to STAI, electrodermal activity exhibited the best correlation, sensitivity and specificity and b) the device derived cardiac parameters highly correlated with the reciprocal Holter values during all experiment phases. CONCLUSION: This wearable device is an easy to use and well accepted by the participants noninvasive tool, which can provide accurate stress estimation in our simulation setting. Additionally, it can replicate Holter derived stress related heart parameters, thus eliminating the need to wear a rather cumbersome device.","author":[{"dropping-particle":"","family":"Georgiou","given":"Konstantinos E.","non-dropping-particle":"","parse-names":false,"suffix":""},{"dropping-particle":"","family":"Dimov","given":"Rossen K.","non-dropping-particle":"","parse-names":false,"suffix":""},{"dropping-particle":"","family":"Boyanov","given":"Nikola B.","non-dropping-particle":"","parse-names":false,"suffix":""},{"dropping-particle":"","family":"Zografos","given":"Konstantinos G.","non-dropping-particle":"","parse-names":false,"suffix":""},{"dropping-particle":"V.","family":"Larentzakis","given":"Andreas","non-dropping-particle":"","parse-names":false,"suffix":""},{"dropping-particle":"","family":"Marinov","given":"Blagoi I.","non-dropping-particle":"","parse-names":false,"suffix":""}],"container-title":"Folia medica","id":"ITEM-1","issue":"1","issued":{"date-parts":[["2019"]]},"page":"49-60","title":"Feasibility of a New Wearable Device to Estimate Acute Stress in Novices During High-fidelity Surgical Simulation","type":"article-journal","volume":"61"},"uris":["http://www.mendeley.com/documents/?uuid=e31ef51c-2edf-4feb-b1db-0f94295aaab8"]}],"mendeley":{"formattedCitation":"(75)","plainTextFormattedCitation":"(75)","previouslyFormattedCitation":"(75)"},"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(75)</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2291466A"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Georgiou et al., 2019</w:t>
            </w:r>
          </w:p>
        </w:tc>
        <w:tc>
          <w:tcPr>
            <w:tcW w:w="1931" w:type="dxa"/>
            <w:tcBorders>
              <w:top w:val="nil"/>
              <w:left w:val="single" w:sz="8" w:space="0" w:color="auto"/>
              <w:bottom w:val="single" w:sz="4" w:space="0" w:color="auto"/>
              <w:right w:val="single" w:sz="4" w:space="0" w:color="auto"/>
            </w:tcBorders>
            <w:noWrap/>
            <w:vAlign w:val="bottom"/>
            <w:hideMark/>
          </w:tcPr>
          <w:p w14:paraId="3A472660"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569810DB"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22CB958D"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7734FC97"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46CB19CD"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78A9AB81"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Some concerns</w:t>
            </w:r>
          </w:p>
        </w:tc>
      </w:tr>
      <w:tr w:rsidR="00D724F8" w:rsidRPr="000609DF" w14:paraId="0C0BF260" w14:textId="77777777" w:rsidTr="005A1E56">
        <w:trPr>
          <w:trHeight w:val="288"/>
        </w:trPr>
        <w:tc>
          <w:tcPr>
            <w:tcW w:w="983" w:type="dxa"/>
            <w:tcBorders>
              <w:top w:val="nil"/>
              <w:left w:val="single" w:sz="8" w:space="0" w:color="auto"/>
              <w:bottom w:val="single" w:sz="4" w:space="0" w:color="auto"/>
              <w:right w:val="single" w:sz="4" w:space="0" w:color="auto"/>
            </w:tcBorders>
          </w:tcPr>
          <w:p w14:paraId="57A624B6"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{"citationItems":[{"id":"ITEM-1","itemData":{"DOI":"10.1002/bjs5.104","ISSN":"24749842","PMID":"30734023","abstract":"Background: Stress has been shown to impact adversely on multiple facets critical to optimal performance. Advancements in wearable technology can reduce barriers to observing stress during surgery. This study aimed to investigate the association between acute intraoperative mental stress and technical surgical performance. Methods: Continuous electrocardiogram data for a single attending surgeon were captured during surgical procedures to obtain heart rate variability (HRV) measures that were used as a proxy for acute mental stress. Two different measures were used: root mean square of successive differences (RMSSD) and standard deviation of RR intervals (SDNN). Technical surgical performance was assessed on the Operating Room Black Box® platform using the Generic Error Rating Tool (GERT). Both HRV recording and procedure video recording were time-stamped. Surgical procedures were fragmented to non-overlapping intervals of 1, 2 and 5 min, and subjected to data analysis. An event was defined as any deviation that caused injury to the patient or posed a risk of harm. Results: Rates of events were significantly higher (47-66 per cent higher) in the higher stress quantiles than in the lower stress quantiles for all measured interval lengths using both proxy measures for acute mental stress. The strongest association was observed using 1-min intervals with RMSSD as the HRV measure (P &lt; 0·001). Conclusion: There is an association between measures of acute mental stress and worse technical surgical performance. Further study will help delineate the interdependence of these variables and identify triggers for increased stress levels to improve surgical safety.","author":[{"dropping-particle":"","family":"Grantcharov","given":"P. D.","non-dropping-particle":"","parse-names":false,"suffix":""},{"dropping-particle":"","family":"Boillat","given":"T.","non-dropping-particle":"","parse-names":false,"suffix":""},{"dropping-particle":"","family":"Elkabany","given":"S.","non-dropping-particle":"","parse-names":false,"suffix":""},{"dropping-particle":"","family":"Wac","given":"K.","non-dropping-particle":"","parse-names":false,"suffix":""},{"dropping-particle":"","family":"Rivas","given":"H.","non-dropping-particle":"","parse-names":false,"suffix":""}],"container-title":"BJS open","id":"ITEM-1","issue":"1","issued":{"date-parts":[["2019"]]},"page":"119-125","title":"Acute mental stress and surgical performance","type":"article-journal","volume":"3"},"uris":["http://www.mendeley.com/documents/?uuid=022fda00-3d40-45e9-9bfc-a3b97440458d"]}],"mendeley":{"formattedCitation":"(76)","plainTextFormattedCitation":"(76)","previouslyFormattedCitation":"(76)"},"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(76)</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1BDB4B43" w14:textId="77777777" w:rsidR="00D724F8" w:rsidRPr="000609DF" w:rsidRDefault="00D724F8" w:rsidP="005A1E56">
            <w:pPr>
              <w:spacing w:after="0" w:line="240" w:lineRule="auto"/>
              <w:rPr>
                <w:rFonts w:ascii="Arial" w:eastAsia="Times New Roman" w:hAnsi="Arial" w:cs="Arial"/>
                <w:color w:val="000000"/>
                <w:sz w:val="16"/>
                <w:szCs w:val="16"/>
                <w:lang w:eastAsia="es-ES"/>
              </w:rPr>
            </w:pPr>
            <w:proofErr w:type="spellStart"/>
            <w:r w:rsidRPr="70FF01BB">
              <w:rPr>
                <w:rFonts w:ascii="Arial" w:eastAsia="Times New Roman" w:hAnsi="Arial" w:cs="Arial"/>
                <w:color w:val="000000" w:themeColor="text1"/>
                <w:sz w:val="16"/>
                <w:szCs w:val="16"/>
              </w:rPr>
              <w:t>Grantcharov</w:t>
            </w:r>
            <w:proofErr w:type="spellEnd"/>
            <w:r w:rsidRPr="70FF01BB">
              <w:rPr>
                <w:rFonts w:ascii="Arial" w:eastAsia="Times New Roman" w:hAnsi="Arial" w:cs="Arial"/>
                <w:color w:val="000000" w:themeColor="text1"/>
                <w:sz w:val="16"/>
                <w:szCs w:val="16"/>
              </w:rPr>
              <w:t xml:space="preserve"> et al., 2019</w:t>
            </w:r>
          </w:p>
        </w:tc>
        <w:tc>
          <w:tcPr>
            <w:tcW w:w="1931" w:type="dxa"/>
            <w:tcBorders>
              <w:top w:val="nil"/>
              <w:left w:val="single" w:sz="8" w:space="0" w:color="auto"/>
              <w:bottom w:val="single" w:sz="4" w:space="0" w:color="auto"/>
              <w:right w:val="single" w:sz="4" w:space="0" w:color="auto"/>
            </w:tcBorders>
            <w:noWrap/>
            <w:vAlign w:val="bottom"/>
            <w:hideMark/>
          </w:tcPr>
          <w:p w14:paraId="46E30775"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0EA1DD3D"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72B11671"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0EB6F07A"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701" w:type="dxa"/>
            <w:tcBorders>
              <w:top w:val="nil"/>
              <w:left w:val="single" w:sz="8" w:space="0" w:color="auto"/>
              <w:bottom w:val="single" w:sz="4" w:space="0" w:color="auto"/>
              <w:right w:val="single" w:sz="4" w:space="0" w:color="auto"/>
            </w:tcBorders>
            <w:noWrap/>
            <w:vAlign w:val="bottom"/>
            <w:hideMark/>
          </w:tcPr>
          <w:p w14:paraId="1B3442E0"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3EF65AF3"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0609DF" w14:paraId="00F3618F" w14:textId="77777777" w:rsidTr="005A1E56">
        <w:trPr>
          <w:trHeight w:val="288"/>
        </w:trPr>
        <w:tc>
          <w:tcPr>
            <w:tcW w:w="983" w:type="dxa"/>
            <w:tcBorders>
              <w:top w:val="nil"/>
              <w:left w:val="single" w:sz="8" w:space="0" w:color="auto"/>
              <w:bottom w:val="single" w:sz="4" w:space="0" w:color="auto"/>
              <w:right w:val="single" w:sz="4" w:space="0" w:color="auto"/>
            </w:tcBorders>
          </w:tcPr>
          <w:p w14:paraId="415DF509"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{"citationItems":[{"id":"ITEM-1","itemData":{"DOI":"10.1038/s41598-019-38727-z","ISSN":"20452322","PMID":"30742018","abstract":"The negative impact of strong sympathetic arousal on dexterous performance during formal surgical training is well-known. This study investigates how this relationship might change if surgical training takes place as a hobby in an informal environment. Fifteen medical students volunteered in a 5-week training regimen and weekly performed two standardized microsurgical tasks: circular cutting and simple interrupted suturing. Time was taken and two independent reviewers evaluated the surgical proficiency. The State Trait Anxiety Inventory (STAI) and the NASA Task Load Index (NASA-TLX) questionnaires measured subjective anxiety and workload, respectively. A high-resolution thermal imaging camera recorded facial imagery, from which a computational algorithm extracted the perinasal perspiration signal as indicator of sympathetic arousal. Anxiety scores on STAI questionnaires were indifferent for all five sessions. The continuously measured arousal signal from the thermal facial imagery was moderate and did not correlate with surgical proficiency or speed. Progressive experience was the strongest contributor to improved skill and speed, which were attained in record time. It appears that dexterous skill acquisition is facilitated by the absence of strong arousals, which can be naturally eliminated in the context of informal education. Given the low cost and availability of surgical simulators, this result opens the way for re-thinking the current practices in surgical training and beyond.","author":[{"dropping-particle":"","family":"Pavlidis","given":"Ioannis","non-dropping-particle":"","parse-names":false,"suffix":""},{"dropping-particle":"","family":"Zavlin","given":"Dmitry","non-dropping-particle":"","parse-names":false,"suffix":""},{"dropping-particle":"","family":"Khatri","given":"Ashik R.","non-dropping-particle":"","parse-names":false,"suffix":""},{"dropping-particle":"","family":"Wesley","given":"Amanveer","non-dropping-particle":"","parse-names":false,"suffix":""},{"dropping-particle":"","family":"Panagopoulos","given":"George","non-dropping-particle":"","parse-names":false,"suffix":""},{"dropping-particle":"","family":"Echo","given":"Anthony","non-dropping-particle":"","parse-names":false,"suffix":""}],"container-title":"Scientific Reports","id":"ITEM-1","issued":{"date-parts":[["2019"]]},"page":"1747","title":"Absence of Stressful Conditions Accelerates Dexterous Skill Acquisition in Surgery","type":"article-journal","volume":"9"},"uris":["http://www.mendeley.com/documents/?uuid=3d9ab705-7f65-490b-8a96-5f8dcdf7ec83"]}],"mendeley":{"formattedCitation":"(97)","plainTextFormattedCitation":"(97)","previouslyFormattedCitation":"(97)"},"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(97)</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4C8E41E5" w14:textId="77777777" w:rsidR="00D724F8" w:rsidRPr="000609DF" w:rsidRDefault="00D724F8" w:rsidP="005A1E56">
            <w:pPr>
              <w:spacing w:after="0" w:line="240" w:lineRule="auto"/>
              <w:rPr>
                <w:rFonts w:ascii="Arial" w:eastAsia="Times New Roman" w:hAnsi="Arial" w:cs="Arial"/>
                <w:color w:val="000000"/>
                <w:sz w:val="16"/>
                <w:szCs w:val="16"/>
                <w:lang w:eastAsia="es-ES"/>
              </w:rPr>
            </w:pPr>
            <w:proofErr w:type="spellStart"/>
            <w:r w:rsidRPr="70FF01BB">
              <w:rPr>
                <w:rFonts w:ascii="Arial" w:eastAsia="Times New Roman" w:hAnsi="Arial" w:cs="Arial"/>
                <w:color w:val="000000" w:themeColor="text1"/>
                <w:sz w:val="16"/>
                <w:szCs w:val="16"/>
              </w:rPr>
              <w:t>Pavlidis</w:t>
            </w:r>
            <w:proofErr w:type="spellEnd"/>
            <w:r w:rsidRPr="70FF01BB">
              <w:rPr>
                <w:rFonts w:ascii="Arial" w:eastAsia="Times New Roman" w:hAnsi="Arial" w:cs="Arial"/>
                <w:color w:val="000000" w:themeColor="text1"/>
                <w:sz w:val="16"/>
                <w:szCs w:val="16"/>
              </w:rPr>
              <w:t xml:space="preserve"> et al., 2019</w:t>
            </w:r>
          </w:p>
        </w:tc>
        <w:tc>
          <w:tcPr>
            <w:tcW w:w="1931" w:type="dxa"/>
            <w:tcBorders>
              <w:top w:val="nil"/>
              <w:left w:val="single" w:sz="8" w:space="0" w:color="auto"/>
              <w:bottom w:val="single" w:sz="4" w:space="0" w:color="auto"/>
              <w:right w:val="single" w:sz="4" w:space="0" w:color="auto"/>
            </w:tcBorders>
            <w:noWrap/>
            <w:vAlign w:val="bottom"/>
            <w:hideMark/>
          </w:tcPr>
          <w:p w14:paraId="0882D00D"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1D743EBE"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0F97C576"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4C7EE974"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3BCED9B6"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0982FB67"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Some concerns</w:t>
            </w:r>
          </w:p>
        </w:tc>
      </w:tr>
      <w:tr w:rsidR="00D724F8" w:rsidRPr="005372EC" w14:paraId="1F4A45AB" w14:textId="77777777" w:rsidTr="005A1E56">
        <w:trPr>
          <w:trHeight w:val="288"/>
        </w:trPr>
        <w:tc>
          <w:tcPr>
            <w:tcW w:w="983" w:type="dxa"/>
            <w:tcBorders>
              <w:top w:val="nil"/>
              <w:left w:val="single" w:sz="8" w:space="0" w:color="auto"/>
              <w:bottom w:val="single" w:sz="4" w:space="0" w:color="auto"/>
              <w:right w:val="single" w:sz="4" w:space="0" w:color="auto"/>
            </w:tcBorders>
          </w:tcPr>
          <w:p w14:paraId="13F254D6"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{"citationItems":[{"id":"ITEM-1","itemData":{"DOI":"10.1016/j.ijmedinf.2019.05.028","ISSN":"18728243","PMID":"31445290","abstract":"It is known that excessive levels of occupational stress affect professionals’ technical and non-technical skills and surgeons are no exception. However, very few studies address this problem in neurosurgeons. A system for monitoring cardiovascular strain and autonomic imbalance during intracranial aneurysm procedures is proposed in order to obtain overall cardiac measures from those procedures. Additionally, this study also allows to detect stressful events and compare their impact with the surgeon's own appraisal. Linear and nonlinear heart rate variability (HRV) features were extracted from surgeon's electrocardiogram (ECG) signal using wearable ECG monitors and mobile technology during 10 intracranial aneurysm surgeries with two surgeons. Stress appraisal and cognitive workload were assessed using self-report measures. Findings suggest that the surgeon associated to the main role during the clipping can be exposed to high levels of stress, especially if a rupture occurs (pNN20 = 0%), while the assistant surgeon tends to experience mental fatigue. Cognitive workload scores of one of the surgeons were negatively correlated with AVNN, SDNN, pNN20, pNN50, 1 V, 2 L V, SD2 and CVI measures. Cognitive workload was positively related with stress appraisal, suggesting that more mentally demanding procedures are also assessed as more stressful. Finally, pNN20 seems to better mirror behavior during stress moments than pNN50. Additionally, a sympathovagal excitation occurs in one of the professionals after changing to main role. The present methodology shows potential for the identification of harmful events. This work may be of importance for the design of effective interventions in order to reduce surgeons stress levels. Furthermore, this approach can be applied to other professions.","author":[{"dropping-particle":"","family":"Pimentel","given":"Gonçalo","non-dropping-particle":"","parse-names":false,"suffix":""},{"dropping-particle":"","family":"Rodrigues","given":"Susana","non-dropping-particle":"","parse-names":false,"suffix":""},{"dropping-particle":"","family":"Silva","given":"Pedro Alberto","non-dropping-particle":"","parse-names":false,"suffix":""},{"dropping-particle":"","family":"Vilarinho","given":"António","non-dropping-particle":"","parse-names":false,"suffix":""},{"dropping-particle":"","family":"Vaz","given":"Rui","non-dropping-particle":"","parse-names":false,"suffix":""},{"dropping-particle":"","family":"Silva Cunha","given":"João Paulo","non-dropping-particle":"","parse-names":false,"suffix":""}],"container-title":"International Journal of Medical Informatics","id":"ITEM-1","issued":{"date-parts":[["2019"]]},"page":"60-68","title":"A wearable approach for intraoperative physiological stress monitoring of multiple cooperative surgeons","type":"article-journal","volume":"129"},"uris":["http://www.mendeley.com/documents/?uuid=74805d49-c93b-4f21-8b56-da44f33d3f67"]}],"mendeley":{"formattedCitation":"(77)","plainTextFormattedCitation":"(77)","previouslyFormattedCitation":"(77)"},"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(77)</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52AD5DD3"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Pimentel et al., 2019</w:t>
            </w:r>
          </w:p>
        </w:tc>
        <w:tc>
          <w:tcPr>
            <w:tcW w:w="1931" w:type="dxa"/>
            <w:tcBorders>
              <w:top w:val="nil"/>
              <w:left w:val="single" w:sz="8" w:space="0" w:color="auto"/>
              <w:bottom w:val="single" w:sz="4" w:space="0" w:color="auto"/>
              <w:right w:val="single" w:sz="4" w:space="0" w:color="auto"/>
            </w:tcBorders>
            <w:noWrap/>
            <w:vAlign w:val="bottom"/>
            <w:hideMark/>
          </w:tcPr>
          <w:p w14:paraId="5FF542F3"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High</w:t>
            </w:r>
          </w:p>
        </w:tc>
        <w:tc>
          <w:tcPr>
            <w:tcW w:w="1269" w:type="dxa"/>
            <w:tcBorders>
              <w:top w:val="nil"/>
              <w:left w:val="single" w:sz="8" w:space="0" w:color="auto"/>
              <w:bottom w:val="single" w:sz="4" w:space="0" w:color="auto"/>
              <w:right w:val="single" w:sz="4" w:space="0" w:color="auto"/>
            </w:tcBorders>
            <w:noWrap/>
            <w:vAlign w:val="bottom"/>
            <w:hideMark/>
          </w:tcPr>
          <w:p w14:paraId="5F165DF6"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781F7F9B"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High</w:t>
            </w:r>
          </w:p>
        </w:tc>
        <w:tc>
          <w:tcPr>
            <w:tcW w:w="1842" w:type="dxa"/>
            <w:tcBorders>
              <w:top w:val="nil"/>
              <w:left w:val="single" w:sz="8" w:space="0" w:color="auto"/>
              <w:bottom w:val="single" w:sz="4" w:space="0" w:color="auto"/>
              <w:right w:val="single" w:sz="4" w:space="0" w:color="auto"/>
            </w:tcBorders>
            <w:noWrap/>
            <w:vAlign w:val="bottom"/>
            <w:hideMark/>
          </w:tcPr>
          <w:p w14:paraId="6B6F43F5"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High</w:t>
            </w:r>
          </w:p>
        </w:tc>
        <w:tc>
          <w:tcPr>
            <w:tcW w:w="1701" w:type="dxa"/>
            <w:tcBorders>
              <w:top w:val="nil"/>
              <w:left w:val="single" w:sz="8" w:space="0" w:color="auto"/>
              <w:bottom w:val="single" w:sz="4" w:space="0" w:color="auto"/>
              <w:right w:val="single" w:sz="4" w:space="0" w:color="auto"/>
            </w:tcBorders>
            <w:noWrap/>
            <w:vAlign w:val="bottom"/>
            <w:hideMark/>
          </w:tcPr>
          <w:p w14:paraId="268F0883"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584662D4"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Some concerns</w:t>
            </w:r>
          </w:p>
        </w:tc>
      </w:tr>
      <w:tr w:rsidR="00D724F8" w:rsidRPr="000609DF" w14:paraId="5398B50E" w14:textId="77777777" w:rsidTr="005A1E56">
        <w:trPr>
          <w:trHeight w:val="288"/>
        </w:trPr>
        <w:tc>
          <w:tcPr>
            <w:tcW w:w="983" w:type="dxa"/>
            <w:tcBorders>
              <w:top w:val="nil"/>
              <w:left w:val="single" w:sz="8" w:space="0" w:color="auto"/>
              <w:bottom w:val="single" w:sz="4" w:space="0" w:color="auto"/>
              <w:right w:val="single" w:sz="4" w:space="0" w:color="auto"/>
            </w:tcBorders>
          </w:tcPr>
          <w:p w14:paraId="7F5F851D"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{"citationItems":[{"id":"ITEM-1","itemData":{"DOI":"10.1080/13645706.2018.1470984","ISSN":"13652931","PMID":"29764260","abstract":"Background: The star-track test has been assessed as valid and reliable to measure manual dexterity in the context of open surgery. We aimed to determine the construct validity and test-retest reliability of the star-track test for manual dexterity in a laparoscopic setting. Material and methods: The star-track test was performed in a laparoscopic box trainer. To determine construct validity an open-label, randomized four-period crossover trial was conducted. Alongside a baseline (non-interventional) measurement, interventions involved: physical fatigue, mental stress and a combination of these. The test-retest trial involved two separate (non-interventional) measurements. The primary outcome measures were accuracy, speed and manual dexterity (the integrated measure of accuracy and speed). Results: Participants made significantly more errors when physically fatigued, whereas participants performed the test significantly slower when mentally stressed. Manual dexterity was significantly affected in the case of combined intervention. High test-retest reliability was found for errors (ICC = 0.90) and completion time (ICC = 0.64). Fair test-retest reliability for the integrated measure was found (ICC = 0.37). Conclusion: The star-track test is a valid and reliable tool to evaluate the effect of physical fatigue and/or mental stress on the characteristics of manual dexterity in a laparoscopic setting.","author":[{"dropping-particle":"","family":"Platte","given":"Kim","non-dropping-particle":"","parse-names":false,"suffix":""},{"dropping-particle":"","family":"Alleblas","given":"Chantal C.J.","non-dropping-particle":"","parse-names":false,"suffix":""},{"dropping-particle":"","family":"Inthout","given":"Joanna","non-dropping-particle":"","parse-names":false,"suffix":""},{"dropping-particle":"","family":"Nieboer","given":"Theodoor E.","non-dropping-particle":"","parse-names":false,"suffix":""}],"container-title":"Minimally Invasive Therapy and Allied Technologies","id":"ITEM-1","issue":"1","issued":{"date-parts":[["2019"]]},"page":"57-64","title":"Measuring fatigue and stress in laparoscopic surgery: validity and reliability of the star-track test","type":"article-journal","volume":"28"},"uris":["http://www.mendeley.com/documents/?uuid=a239059d-18e8-4862-be78-713cc7193d78"]}],"mendeley":{"formattedCitation":"(20)","plainTextFormattedCitation":"(20)","previouslyFormattedCitation":"(20)"},"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(20)</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0E829B21"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Platte et al., 2019</w:t>
            </w:r>
          </w:p>
        </w:tc>
        <w:tc>
          <w:tcPr>
            <w:tcW w:w="1931" w:type="dxa"/>
            <w:tcBorders>
              <w:top w:val="nil"/>
              <w:left w:val="single" w:sz="8" w:space="0" w:color="auto"/>
              <w:bottom w:val="single" w:sz="4" w:space="0" w:color="auto"/>
              <w:right w:val="single" w:sz="4" w:space="0" w:color="auto"/>
            </w:tcBorders>
            <w:noWrap/>
            <w:vAlign w:val="bottom"/>
            <w:hideMark/>
          </w:tcPr>
          <w:p w14:paraId="4386028D"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071CB298"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72FC1CC0"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4CE7E00B"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768AEE38"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4AE1CD95"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0609DF" w14:paraId="0523AF0B" w14:textId="77777777" w:rsidTr="005A1E56">
        <w:trPr>
          <w:trHeight w:val="288"/>
        </w:trPr>
        <w:tc>
          <w:tcPr>
            <w:tcW w:w="983" w:type="dxa"/>
            <w:tcBorders>
              <w:top w:val="nil"/>
              <w:left w:val="single" w:sz="8" w:space="0" w:color="auto"/>
              <w:bottom w:val="single" w:sz="4" w:space="0" w:color="auto"/>
              <w:right w:val="single" w:sz="4" w:space="0" w:color="auto"/>
            </w:tcBorders>
          </w:tcPr>
          <w:p w14:paraId="2466B174"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{"citationItems":[{"id":"ITEM-1","itemData":{"DOI":"10.1016/j.amjsurg.2019.08.023","ISSN":"18791883","PMID":"31570199","abstract":"Introduction: Burnout and depression is higher in trauma surgeons as compared to surgeons in other specialties. Clinical practice for many acute care surgeons (ACS) includes in-house call (IHC). The goal of this study was to quantitate physiologic stress among ACS who take IHC. Methods: ACS with IHC responsibilities from two Level I trauma centers were studied. Participants wore a fitness and heart rate variability (HRV) device over 3 months. HRV was categorized as normal if 85% of baseline, moderate stress when HRV &lt;85% but &gt;50%, and high stress when HRV&lt; 50%. Results: 1421 nights were recorded among 17 surgeons (35.3% female; mean age 45.5 years). Excluding IHC, mean HRV = 32.23, and 95.63% of days were consistent with moderate or high stress. Post-call day 2 had significantly highest percentage of high stress (65.82%, p = 0.0495). High and moderate stress levels returned to baseline on post-call day 3. Conclusions: High and moderate stress beyond IHC is common among ACS. Future study is needed to determine consequences of persistent stress and identify factors which impact recovery after IHC.","author":[{"dropping-particle":"","family":"Robinson","given":"Caitlin","non-dropping-particle":"","parse-names":false,"suffix":""},{"dropping-particle":"","family":"Lawless","given":"Ryan","non-dropping-particle":"","parse-names":false,"suffix":""},{"dropping-particle":"","family":"Zarzaur","given":"Ben L.","non-dropping-particle":"","parse-names":false,"suffix":""},{"dropping-particle":"","family":"Timsina","given":"Lava","non-dropping-particle":"","parse-names":false,"suffix":""},{"dropping-particle":"V.","family":"Feliciano","given":"David","non-dropping-particle":"","parse-names":false,"suffix":""},{"dropping-particle":"","family":"Coleman","given":"Jamie J.","non-dropping-particle":"","parse-names":false,"suffix":""}],"container-title":"American Journal of Surgery","id":"ITEM-1","issue":"6","issued":{"date-parts":[["2019"]]},"page":"1181-1184","title":"Physiologic stress among surgeons who take in-house call","type":"article-journal","volume":"218"},"uris":["http://www.mendeley.com/documents/?uuid=b5bac6b0-c155-4031-b57e-872465d98d6d"]}],"mendeley":{"formattedCitation":"(78)","plainTextFormattedCitation":"(78)","previouslyFormattedCitation":"(78)"},"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(78)</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12B2810A"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Robinson et al., 2019</w:t>
            </w:r>
          </w:p>
        </w:tc>
        <w:tc>
          <w:tcPr>
            <w:tcW w:w="1931" w:type="dxa"/>
            <w:tcBorders>
              <w:top w:val="nil"/>
              <w:left w:val="single" w:sz="8" w:space="0" w:color="auto"/>
              <w:bottom w:val="single" w:sz="4" w:space="0" w:color="auto"/>
              <w:right w:val="single" w:sz="4" w:space="0" w:color="auto"/>
            </w:tcBorders>
            <w:noWrap/>
            <w:vAlign w:val="bottom"/>
            <w:hideMark/>
          </w:tcPr>
          <w:p w14:paraId="650D2490"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4440908A"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7BF5CB02"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1F79F381"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701" w:type="dxa"/>
            <w:tcBorders>
              <w:top w:val="nil"/>
              <w:left w:val="single" w:sz="8" w:space="0" w:color="auto"/>
              <w:bottom w:val="single" w:sz="4" w:space="0" w:color="auto"/>
              <w:right w:val="single" w:sz="4" w:space="0" w:color="auto"/>
            </w:tcBorders>
            <w:noWrap/>
            <w:vAlign w:val="bottom"/>
            <w:hideMark/>
          </w:tcPr>
          <w:p w14:paraId="247F655F"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4660A841"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0609DF" w14:paraId="25AA23F1" w14:textId="77777777" w:rsidTr="005A1E56">
        <w:trPr>
          <w:trHeight w:val="288"/>
        </w:trPr>
        <w:tc>
          <w:tcPr>
            <w:tcW w:w="983" w:type="dxa"/>
            <w:tcBorders>
              <w:top w:val="nil"/>
              <w:left w:val="single" w:sz="8" w:space="0" w:color="auto"/>
              <w:bottom w:val="single" w:sz="4" w:space="0" w:color="auto"/>
              <w:right w:val="single" w:sz="4" w:space="0" w:color="auto"/>
            </w:tcBorders>
          </w:tcPr>
          <w:p w14:paraId="44FEDBEA"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{"citationItems":[{"id":"ITEM-1","itemData":{"DOI":"10.1177/1039856219891589","ISSN":"14401665","PMID":"31968992","abstract":"Objective: The study aimed to measure the impact of meditation on participants’ ability to regulate brain wave activity in high-stress situations, control physiological stress responses and improve subjective wellbeing. Methods: Twelve obstetrics and gynaecology (O&amp;G) doctors meditated for 20 minutes daily for 21 days utilising a portable EEG (electroencephalogram) providing instantaneous audio feedback. Their brain activity levels and salivary cortisol were measured before and after performing three surgical procedures. Participants were interviewed about their experiences and completed self-ratings of distress (e.g. DASS-21, Depression, Anxiety and Depression Scale). Data were analysed statistically and thematically. Results: (a) Measures of pre- and post-operative brain activity showed no significantly higher levels of alpha waves. (b) Pre- and post-operative salivary cortisol levels did not significantly decrease. (c) DASS-21 scores showed significant decreases in levels of anxiety and stress. Conclusion: Results suggest that, with biofeedback meditation, O&amp;G doctors can learn to reduce situational stress and improve mood overall through a focussed intervention.","author":[{"dropping-particle":"","family":"Allen","given":"Rosie","non-dropping-particle":"","parse-names":false,"suffix":""},{"dropping-particle":"","family":"Robinson","given":"Andrew","non-dropping-particle":"","parse-names":false,"suffix":""},{"dropping-particle":"","family":"Allen","given":"Shelley","non-dropping-particle":"","parse-names":false,"suffix":""},{"dropping-particle":"","family":"Nathan","given":"Elizabeth","non-dropping-particle":"","parse-names":false,"suffix":""},{"dropping-particle":"","family":"Coghlan","given":"Edwina","non-dropping-particle":"","parse-names":false,"suffix":""},{"dropping-particle":"","family":"Leung","given":"Yee","non-dropping-particle":"","parse-names":false,"suffix":""}],"container-title":"Australasian Psychiatry","id":"ITEM-1","issue":"3","issued":{"date-parts":[["2020"]]},"page":"342-347","title":"Designing meditation for doctor well-being: can ‘Om’ help obstetrics and gynaecology doctors?","type":"article-journal","volume":"28"},"uris":["http://www.mendeley.com/documents/?uuid=6e1aa52b-1b02-4d8b-85d6-6c0c4942f4b5"]}],"mendeley":{"formattedCitation":"(91)","plainTextFormattedCitation":"(91)","previouslyFormattedCitation":"(91)"},"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(91)</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00476C37"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Allen et al., 2020</w:t>
            </w:r>
          </w:p>
        </w:tc>
        <w:tc>
          <w:tcPr>
            <w:tcW w:w="1931" w:type="dxa"/>
            <w:tcBorders>
              <w:top w:val="nil"/>
              <w:left w:val="single" w:sz="8" w:space="0" w:color="auto"/>
              <w:bottom w:val="single" w:sz="4" w:space="0" w:color="auto"/>
              <w:right w:val="single" w:sz="4" w:space="0" w:color="auto"/>
            </w:tcBorders>
            <w:noWrap/>
            <w:vAlign w:val="bottom"/>
            <w:hideMark/>
          </w:tcPr>
          <w:p w14:paraId="4F0F230A"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12C02528"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High</w:t>
            </w:r>
          </w:p>
        </w:tc>
        <w:tc>
          <w:tcPr>
            <w:tcW w:w="1860" w:type="dxa"/>
            <w:tcBorders>
              <w:top w:val="nil"/>
              <w:left w:val="single" w:sz="8" w:space="0" w:color="auto"/>
              <w:bottom w:val="single" w:sz="4" w:space="0" w:color="auto"/>
              <w:right w:val="single" w:sz="4" w:space="0" w:color="auto"/>
            </w:tcBorders>
            <w:noWrap/>
            <w:vAlign w:val="bottom"/>
            <w:hideMark/>
          </w:tcPr>
          <w:p w14:paraId="705E2E52"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6823E1DE"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439CF902"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7809A920"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Some concerns</w:t>
            </w:r>
          </w:p>
        </w:tc>
      </w:tr>
      <w:tr w:rsidR="00D724F8" w:rsidRPr="000609DF" w14:paraId="0C019039" w14:textId="77777777" w:rsidTr="005A1E56">
        <w:trPr>
          <w:trHeight w:val="288"/>
        </w:trPr>
        <w:tc>
          <w:tcPr>
            <w:tcW w:w="983" w:type="dxa"/>
            <w:tcBorders>
              <w:top w:val="nil"/>
              <w:left w:val="single" w:sz="8" w:space="0" w:color="auto"/>
              <w:bottom w:val="single" w:sz="4" w:space="0" w:color="auto"/>
              <w:right w:val="single" w:sz="4" w:space="0" w:color="auto"/>
            </w:tcBorders>
          </w:tcPr>
          <w:p w14:paraId="0B319D03"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{"citationItems":[{"id":"ITEM-1","itemData":{"DOI":"10.1016/j.amjsurg.2019.12.022","ISSN":"18791883","PMID":"31952786","abstract":"Background: Mental skills limit surgical residents’ skill decay resulting from stress. However, optimal mental skills delivery is unknown. We sought to compare the impact of implementing our curriculum in small groups and individually. Methods: At baseline, residents completed assessments of mental skills and laparoscopic suturing. Residents then participated in a comprehensive mental skills curriculum at two institutions. At the first institution, residents completed small group training, whereas residents at the second institution trained individually. Following mental skills training, residents completed FLS training, at which time they completed the Short State Stress Questionnaire detailing their engagement. At post-test, residents completed baseline assessments again. Results: Twenty-one residents completed training. Small groups were less engaged after training than individuals (Group average engagement: 26.4 vs. Individual average engagement: 29.6, p = 0.06). Conclusions: Delivering mental skills individually facilitates greater engagement than training in small groups, but regardless of delivery method, our MSC can achieve the same outcomes on surgical performance.","author":[{"dropping-particle":"","family":"Anton","given":"Nicholas E.","non-dropping-particle":"","parse-names":false,"suffix":""},{"dropping-particle":"","family":"Bean","given":"Eric A.","non-dropping-particle":"","parse-names":false,"suffix":""},{"dropping-particle":"","family":"Myers","given":"Erinn","non-dropping-particle":"","parse-names":false,"suffix":""},{"dropping-particle":"","family":"Stefanidis","given":"Dimitrios","non-dropping-particle":"","parse-names":false,"suffix":""}],"container-title":"American Journal of Surgery","id":"ITEM-1","issue":"2","issued":{"date-parts":[["2020"]]},"page":"335-339","title":"Optimizing learner engagement during mental skills training: A pilot study of small group vs. individualized training","type":"article-journal","volume":"219"},"uris":["http://www.mendeley.com/documents/?uuid=82b59a26-79a6-4e15-aff7-574b14f8c38d"]}],"mendeley":{"formattedCitation":"(88)","plainTextFormattedCitation":"(88)","previouslyFormattedCitation":"(88)"},"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(88)</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09612202"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Anton et al., 2020</w:t>
            </w:r>
          </w:p>
        </w:tc>
        <w:tc>
          <w:tcPr>
            <w:tcW w:w="1931" w:type="dxa"/>
            <w:tcBorders>
              <w:top w:val="nil"/>
              <w:left w:val="single" w:sz="8" w:space="0" w:color="auto"/>
              <w:bottom w:val="single" w:sz="4" w:space="0" w:color="auto"/>
              <w:right w:val="single" w:sz="4" w:space="0" w:color="auto"/>
            </w:tcBorders>
            <w:noWrap/>
            <w:vAlign w:val="bottom"/>
            <w:hideMark/>
          </w:tcPr>
          <w:p w14:paraId="6E6256C1"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269" w:type="dxa"/>
            <w:tcBorders>
              <w:top w:val="nil"/>
              <w:left w:val="single" w:sz="8" w:space="0" w:color="auto"/>
              <w:bottom w:val="single" w:sz="4" w:space="0" w:color="auto"/>
              <w:right w:val="single" w:sz="4" w:space="0" w:color="auto"/>
            </w:tcBorders>
            <w:noWrap/>
            <w:vAlign w:val="bottom"/>
            <w:hideMark/>
          </w:tcPr>
          <w:p w14:paraId="4DA71483"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1DCABCBC"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05B7354B"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60842C2D"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499FA173"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5372EC" w14:paraId="6FC12C9C" w14:textId="77777777" w:rsidTr="005A1E56">
        <w:trPr>
          <w:trHeight w:val="288"/>
        </w:trPr>
        <w:tc>
          <w:tcPr>
            <w:tcW w:w="983" w:type="dxa"/>
            <w:tcBorders>
              <w:top w:val="nil"/>
              <w:left w:val="single" w:sz="8" w:space="0" w:color="auto"/>
              <w:bottom w:val="single" w:sz="4" w:space="0" w:color="auto"/>
              <w:right w:val="single" w:sz="4" w:space="0" w:color="auto"/>
            </w:tcBorders>
          </w:tcPr>
          <w:p w14:paraId="33068D36"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{"citationItems":[{"id":"ITEM-1","itemData":{"DOI":"10.5489/CUAJ.6647","ISSN":"19116470","abstract":"Introduction: The purpose of this study was to document the variability of faculty surgeon electrodermal activity (EDA) peaks during laparoscopic donor nephrectomy (LDN) to determine the effect of case difficulty and learner expertise on the stress response. Methods: EDA for a single faculty surgeon was captured over 15 LDN cases using an Empatica E4 wristband. During each case, one of three transplant fellows (novice, intermediate, or expert level LDN expertise) participated. Difficulty was rated preoperatively as “low/moderate/high” by the faculty. EDA peaks were collected and analyzed; the frequency and magnitude of EDA peaks, case difficulty, and fellow expertise were compared using a two-way factorial ANOVA. Results: The main effects of learner expertise (F[2, 308]=11.27, p&lt;0.001) and difficulty rating (F[2, 414]=15.13, p&lt;0.001) were significant. The interaction between difficulty and expertise on faculty EDA peaks was also significant (F[3, 391]=14.29, p&lt;0.001). The novice fellow resulted in higher faculty EDA levels compared to intermediate and expert fellows on low-difficulty cases, but not moderate- or high-difficulty cases. Conclusions: This is the first report examining faculty surgeon EDA across cases of varying difficulty and varying learner expertise during a high-stakes operation. EDA levels were inversely proportional to the expertise of the learner and case difficulty, suggestive of a significant impact of learner autonomy on faculty stress response.","author":[{"dropping-particle":"","family":"Wilson","given":"Claire","non-dropping-particle":"","parse-names":false,"suffix":""},{"dropping-particle":"","family":"Chahine","given":"Saad","non-dropping-particle":"","parse-names":false,"suffix":""},{"dropping-particle":"","family":"Cristancho","given":"Sayra","non-dropping-particle":"","parse-names":false,"suffix":""},{"dropping-particle":"","family":"Aquil","given":"Shahid","non-dropping-particle":"","parse-names":false,"suffix":""},{"dropping-particle":"","family":"Mandurah","given":"Moaath","non-dropping-particle":"","parse-names":false,"suffix":""},{"dropping-particle":"","family":"Levine","given":"Max","non-dropping-particle":"","parse-names":false,"suffix":""},{"dropping-particle":"","family":"Sener","given":"Alp","non-dropping-particle":"","parse-names":false,"suffix":""}],"container-title":"Canadian Urological Association Journal","id":"ITEM-1","issue":"4","issued":{"date-parts":[["2020"]]},"page":"205-209","title":"Unusual suspects: Real-time physiological evaluation of stressors during laparoscopic donor nephrectomy","type":"article-journal","volume":"15"},"uris":["http://www.mendeley.com/documents/?uuid=523f5a2c-99d4-4208-a700-7fa28f37f918"]}],"mendeley":{"formattedCitation":"(94)","plainTextFormattedCitation":"(94)","previouslyFormattedCitation":"(94)"},"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(94)</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1D64146E"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Wilson et al., 2020</w:t>
            </w:r>
          </w:p>
        </w:tc>
        <w:tc>
          <w:tcPr>
            <w:tcW w:w="1931" w:type="dxa"/>
            <w:tcBorders>
              <w:top w:val="nil"/>
              <w:left w:val="single" w:sz="8" w:space="0" w:color="auto"/>
              <w:bottom w:val="single" w:sz="4" w:space="0" w:color="auto"/>
              <w:right w:val="single" w:sz="4" w:space="0" w:color="auto"/>
            </w:tcBorders>
            <w:noWrap/>
            <w:vAlign w:val="bottom"/>
            <w:hideMark/>
          </w:tcPr>
          <w:p w14:paraId="23708233"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2E3FA7E2"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5B185C45"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5098B4BB"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0D5A58D5"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5E0E9042"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5372EC" w14:paraId="3A42200B" w14:textId="77777777" w:rsidTr="005A1E56">
        <w:trPr>
          <w:trHeight w:val="288"/>
        </w:trPr>
        <w:tc>
          <w:tcPr>
            <w:tcW w:w="983" w:type="dxa"/>
            <w:tcBorders>
              <w:top w:val="nil"/>
              <w:left w:val="single" w:sz="8" w:space="0" w:color="auto"/>
              <w:bottom w:val="single" w:sz="4" w:space="0" w:color="auto"/>
              <w:right w:val="single" w:sz="4" w:space="0" w:color="auto"/>
            </w:tcBorders>
          </w:tcPr>
          <w:p w14:paraId="60D94771"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{"citationItems":[{"id":"ITEM-1","itemData":{"DOI":"10.1097/sih.0000000000000511","ISSN":"1559-2332","abstract":"INTRODUCTION: Medical students are vulnerable to experience stress, as they are routinely confronted with stressors. Acute stress can reduce students' performance on examinations, and chronic stress can contribute to cognitive disorders. Conversely, stress coping skills can reduce trainees' anxiety. Thus, stress coping skills may help students manage stress effectively and better maintain clinical performance. The goal of this study was to assess the relationship between medical students' stress, workload, stress coping skills, performance-enhancing mental skills, and clinical performance during a simulated clinical scenario. METHOD(S): During their surgery clerkship rotation, third-year medical students participated in a simulated scenario designed to assess their ability to care for an acutely ill surgical patient. Participants' physiological stress was assessed using heart rate (HR) monitors during the simulation, their perceived stress using the State-Trait Anxiety Inventory, and workload using the NASA-Task Load Index immediately after. Clinical performance was assessed using a global rating scale. Stress coping skills were also assessed. The relationship between performance, stress level, workload, and coping skills was examined. RESULT(S): Forty-one third-year medical students voluntarily participated in the study. Participants' clinical performance was negatively correlated with perceived stress and workload during the scenario (P &lt; 0.05). A stepwise linear regression model revealed that higher HR was the main predictor of poorer clinical performance (P &lt; 0.05). CONCLUSION(S): In this study, medical students' HR was associated with poorer performance during a simulated clinical scenario. Adaptive stress coping skills may allow medical students to manage stressful situations and better maintain performance.","author":[{"dropping-particle":"","family":"Anton","given":"Nicholas E.","non-dropping-particle":"","parse-names":false,"suffix":""},{"dropping-particle":"","family":"Rendina","given":"Megan A.","non-dropping-particle":"","parse-names":false,"suffix":""},{"dropping-particle":"","family":"Hennings","given":"Julie M.","non-dropping-particle":"","parse-names":false,"suffix":""},{"dropping-particle":"","family":"Stambro","given":"Ryan","non-dropping-particle":"","parse-names":false,"suffix":""},{"dropping-particle":"","family":"Stanton-Maxey","given":"Katie J.","non-dropping-particle":"","parse-names":false,"suffix":""},{"dropping-particle":"","family":"Stefanidis","given":"Dimitrios","non-dropping-particle":"","parse-names":false,"suffix":""}],"container-title":"Simulation in Healthcare: The Journal of the Society for Simulation in Healthcare","id":"ITEM-1","issue":"5","issued":{"date-parts":[["2021"]]},"page":"327-333","title":"Association of Medical Students' Stress and Coping Skills With Simulation Performance","type":"article-journal","volume":"16"},"uris":["http://www.mendeley.com/documents/?uuid=31e783fd-572a-4b2d-96d9-3c81cf911019"]}],"mendeley":{"formattedCitation":"(79)","plainTextFormattedCitation":"(79)","previouslyFormattedCitation":"(79)"},"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(79)</w:t>
            </w:r>
            <w:r w:rsidRPr="70FF01BB">
              <w:rPr>
                <w:rFonts w:ascii="Arial" w:hAnsi="Arial" w:cs="Arial"/>
                <w:sz w:val="16"/>
                <w:szCs w:val="16"/>
              </w:rPr>
              <w:fldChar w:fldCharType="end"/>
            </w:r>
          </w:p>
        </w:tc>
        <w:tc>
          <w:tcPr>
            <w:tcW w:w="1868" w:type="dxa"/>
            <w:tcBorders>
              <w:top w:val="nil"/>
              <w:left w:val="single" w:sz="8" w:space="0" w:color="auto"/>
              <w:bottom w:val="single" w:sz="4" w:space="0" w:color="auto"/>
              <w:right w:val="single" w:sz="4" w:space="0" w:color="auto"/>
            </w:tcBorders>
            <w:noWrap/>
            <w:vAlign w:val="bottom"/>
            <w:hideMark/>
          </w:tcPr>
          <w:p w14:paraId="0A96B41D"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Anton et al., 2020</w:t>
            </w:r>
          </w:p>
        </w:tc>
        <w:tc>
          <w:tcPr>
            <w:tcW w:w="1931" w:type="dxa"/>
            <w:tcBorders>
              <w:top w:val="nil"/>
              <w:left w:val="single" w:sz="8" w:space="0" w:color="auto"/>
              <w:bottom w:val="single" w:sz="4" w:space="0" w:color="auto"/>
              <w:right w:val="single" w:sz="4" w:space="0" w:color="auto"/>
            </w:tcBorders>
            <w:noWrap/>
            <w:vAlign w:val="bottom"/>
            <w:hideMark/>
          </w:tcPr>
          <w:p w14:paraId="52886BE4"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569FDBE0"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4DC2F63E"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42" w:type="dxa"/>
            <w:tcBorders>
              <w:top w:val="nil"/>
              <w:left w:val="single" w:sz="8" w:space="0" w:color="auto"/>
              <w:bottom w:val="single" w:sz="4" w:space="0" w:color="auto"/>
              <w:right w:val="single" w:sz="4" w:space="0" w:color="auto"/>
            </w:tcBorders>
            <w:noWrap/>
            <w:vAlign w:val="bottom"/>
            <w:hideMark/>
          </w:tcPr>
          <w:p w14:paraId="4B6D8882"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701" w:type="dxa"/>
            <w:tcBorders>
              <w:top w:val="nil"/>
              <w:left w:val="single" w:sz="8" w:space="0" w:color="auto"/>
              <w:bottom w:val="single" w:sz="4" w:space="0" w:color="auto"/>
              <w:right w:val="single" w:sz="4" w:space="0" w:color="auto"/>
            </w:tcBorders>
            <w:noWrap/>
            <w:vAlign w:val="bottom"/>
            <w:hideMark/>
          </w:tcPr>
          <w:p w14:paraId="441AB0DA"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4EFF7BED"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5372EC" w14:paraId="459A234C" w14:textId="77777777" w:rsidTr="005A1E56">
        <w:trPr>
          <w:trHeight w:val="288"/>
        </w:trPr>
        <w:tc>
          <w:tcPr>
            <w:tcW w:w="983" w:type="dxa"/>
            <w:tcBorders>
              <w:top w:val="single" w:sz="4" w:space="0" w:color="auto"/>
              <w:left w:val="single" w:sz="8" w:space="0" w:color="auto"/>
              <w:bottom w:val="single" w:sz="4" w:space="0" w:color="auto"/>
              <w:right w:val="single" w:sz="8" w:space="0" w:color="auto"/>
            </w:tcBorders>
          </w:tcPr>
          <w:p w14:paraId="15D423E2"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{"citationItems":[{"id":"ITEM-1","itemData":{"DOI":"10.1080/00365521.2021.1965208","ISSN":"15027708","abstract":"Objective: Simulated endoscopic training can be challenging and stressful for the novice trainee. The absence of a reliable stress detection method during simulated endoscopic training makes estimating trainees’ mental stress difficult to quantify. This study concomitantly measures the responses of four saliva stress biomarkers and compares them to the video score (VS) achieved by novice endoscopists in a reproducibly stressful simulation environment. Methods: Thirty-six male endoscopy naïve surgery residents were enrolled. After an orientation phase, a saliva specimen was collected for cortisol (sC), alpha-amylase (sAA), Chromogranin A (sCgA), and immunoglobulin A (sIgA) measurements (baseline phase, BL). Thereafter, the simulation exercise phase (E) started, practicing in the Fundamentals of Endoscopic Surgery Skills module (GI-Bronch Mentor). Immediately after, a second saliva sample for measuring the above-cited biomarkers was collected. The whole experiment was videotaped, and the VS was calculated. The percentage (E-BL)diff of each of the four saliva biomarkers was calculated and examined for correlation to VS. Results: sCgAdiff showed the best correlation with VS, followed by sAAdiff. Conclusions: sCgA and sAA, are saliva stress biomarkers that are easy to collect non-invasively and showed the best correlation with novice endoscopist’s performance in our simulation setting, and therefore, they could be used for monitoring stress.","author":[{"dropping-particle":"","family":"Boyanov","given":"Nikola","non-dropping-particle":"","parse-names":false,"suffix":""},{"dropping-particle":"","family":"Georgiou","given":"Konstantinos","non-dropping-particle":"","parse-names":false,"suffix":""},{"dropping-particle":"","family":"Thanasas","given":"Dimitrios","non-dropping-particle":"","parse-names":false,"suffix":""},{"dropping-particle":"","family":"Deneva","given":"Tanya","non-dropping-particle":"","parse-names":false,"suffix":""},{"dropping-particle":"","family":"Oussi","given":"Ninos","non-dropping-particle":"","parse-names":false,"suffix":""},{"dropping-particle":"","family":"Marinov","given":"Blagoi","non-dropping-particle":"","parse-names":false,"suffix":""},{"dropping-particle":"","family":"Enochsson","given":"Lars","non-dropping-particle":"","parse-names":false,"suffix":""}],"container-title":"Scandinavian Journal of Gastroenterology","id":"ITEM-1","issue":"11","issued":{"date-parts":[["2021"]]},"page":"1380-1385","title":"Use of saliva stress biomarkers to estimate novice male endoscopist’s stress during training in a high-end simulator","type":"article-journal","volume":"56"},"uris":["http://www.mendeley.com/documents/?uuid=50a2e575-c904-45ec-9cbe-545f7fbb8c67"]}],"mendeley":{"formattedCitation":"(90)","plainTextFormattedCitation":"(90)","previouslyFormattedCitation":"(90)"},"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(90)</w:t>
            </w:r>
            <w:r w:rsidRPr="70FF01BB">
              <w:rPr>
                <w:rFonts w:ascii="Arial" w:hAnsi="Arial" w:cs="Arial"/>
                <w:sz w:val="16"/>
                <w:szCs w:val="16"/>
              </w:rPr>
              <w:fldChar w:fldCharType="end"/>
            </w:r>
          </w:p>
        </w:tc>
        <w:tc>
          <w:tcPr>
            <w:tcW w:w="1868" w:type="dxa"/>
            <w:tcBorders>
              <w:top w:val="single" w:sz="4" w:space="0" w:color="auto"/>
              <w:left w:val="single" w:sz="8" w:space="0" w:color="auto"/>
              <w:bottom w:val="single" w:sz="4" w:space="0" w:color="auto"/>
              <w:right w:val="single" w:sz="4" w:space="0" w:color="auto"/>
            </w:tcBorders>
            <w:noWrap/>
            <w:vAlign w:val="bottom"/>
            <w:hideMark/>
          </w:tcPr>
          <w:p w14:paraId="06715F6F" w14:textId="77777777" w:rsidR="00D724F8" w:rsidRPr="005372EC" w:rsidRDefault="00D724F8" w:rsidP="005A1E56">
            <w:pPr>
              <w:spacing w:after="0" w:line="240" w:lineRule="auto"/>
              <w:rPr>
                <w:rFonts w:ascii="Arial" w:eastAsia="Times New Roman" w:hAnsi="Arial" w:cs="Arial"/>
                <w:color w:val="000000"/>
                <w:sz w:val="16"/>
                <w:szCs w:val="16"/>
                <w:lang w:eastAsia="es-ES"/>
              </w:rPr>
            </w:pPr>
            <w:proofErr w:type="spellStart"/>
            <w:r w:rsidRPr="70FF01BB">
              <w:rPr>
                <w:rFonts w:ascii="Arial" w:eastAsia="Times New Roman" w:hAnsi="Arial" w:cs="Arial"/>
                <w:color w:val="000000" w:themeColor="text1"/>
                <w:sz w:val="16"/>
                <w:szCs w:val="16"/>
              </w:rPr>
              <w:t>Boyanov</w:t>
            </w:r>
            <w:proofErr w:type="spellEnd"/>
            <w:r w:rsidRPr="70FF01BB">
              <w:rPr>
                <w:rFonts w:ascii="Arial" w:eastAsia="Times New Roman" w:hAnsi="Arial" w:cs="Arial"/>
                <w:color w:val="000000" w:themeColor="text1"/>
                <w:sz w:val="16"/>
                <w:szCs w:val="16"/>
              </w:rPr>
              <w:t xml:space="preserve"> et al., 2021</w:t>
            </w:r>
          </w:p>
        </w:tc>
        <w:tc>
          <w:tcPr>
            <w:tcW w:w="1931" w:type="dxa"/>
            <w:tcBorders>
              <w:top w:val="nil"/>
              <w:left w:val="single" w:sz="8" w:space="0" w:color="auto"/>
              <w:bottom w:val="single" w:sz="4" w:space="0" w:color="auto"/>
              <w:right w:val="single" w:sz="4" w:space="0" w:color="auto"/>
            </w:tcBorders>
            <w:noWrap/>
            <w:vAlign w:val="bottom"/>
            <w:hideMark/>
          </w:tcPr>
          <w:p w14:paraId="4666DFFE"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73ABF5BA"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26FED456"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42" w:type="dxa"/>
            <w:tcBorders>
              <w:top w:val="nil"/>
              <w:left w:val="single" w:sz="8" w:space="0" w:color="auto"/>
              <w:bottom w:val="single" w:sz="4" w:space="0" w:color="auto"/>
              <w:right w:val="single" w:sz="4" w:space="0" w:color="auto"/>
            </w:tcBorders>
            <w:noWrap/>
            <w:vAlign w:val="bottom"/>
            <w:hideMark/>
          </w:tcPr>
          <w:p w14:paraId="1924B326"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High</w:t>
            </w:r>
          </w:p>
        </w:tc>
        <w:tc>
          <w:tcPr>
            <w:tcW w:w="1701" w:type="dxa"/>
            <w:tcBorders>
              <w:top w:val="nil"/>
              <w:left w:val="single" w:sz="8" w:space="0" w:color="auto"/>
              <w:bottom w:val="single" w:sz="4" w:space="0" w:color="auto"/>
              <w:right w:val="single" w:sz="4" w:space="0" w:color="auto"/>
            </w:tcBorders>
            <w:noWrap/>
            <w:vAlign w:val="bottom"/>
            <w:hideMark/>
          </w:tcPr>
          <w:p w14:paraId="2FF96C5B"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0EBEB7B4"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0609DF" w14:paraId="31B9FA14" w14:textId="77777777" w:rsidTr="005A1E56">
        <w:trPr>
          <w:trHeight w:val="288"/>
        </w:trPr>
        <w:tc>
          <w:tcPr>
            <w:tcW w:w="983" w:type="dxa"/>
            <w:tcBorders>
              <w:top w:val="single" w:sz="4" w:space="0" w:color="auto"/>
              <w:left w:val="single" w:sz="8" w:space="0" w:color="auto"/>
              <w:bottom w:val="single" w:sz="4" w:space="0" w:color="auto"/>
              <w:right w:val="single" w:sz="8" w:space="0" w:color="auto"/>
            </w:tcBorders>
          </w:tcPr>
          <w:p w14:paraId="4548E936"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{"citationItems":[{"id":"ITEM-1","itemData":{"DOI":"10.1016/j.surg.2021.03.010","ISSN":"15327361","PMID":"33867169","abstract":"Background: Excessive stress negatively impacts surgical residents’ technical performance. The effect of stress on trainee nontechnical skills, however, is less well studied. Given that nontechnical skills are known to impact clinical performance, the purpose of this study was to assess the relationship between residents’ perceived stress and nontechnical skills during multidisciplinary trauma simulations. Methods: First-year surgery and emergency medicine residents voluntarily participated in this study. Residents participated in 3 trauma simulations across 2 training sessions in randomly assigned teams. Each team's nontechnical skills were evaluated by faculty using the Trauma Nontechnical Skills scale. The Trauma Nontechnical Skills scale consists of 5 items: leadership, cooperation, communication, assessment, and situation awareness/coping with stress. After each scenario, residents completed the 6-item version of the State-Trait Anxiety Inventory and the Surgery Task Load Index to detail their perceived stress and workload during scenarios. Linear regressions were run to assess relationships between stress, workload, and nontechnical skills. Results: Twenty-five residents participated in the first simulation day, and 24 residents participated in the second simulation day. Results from regressions revealed that heightened stress and workload predicted significantly lower nontechnical skills performance during trauma scenarios. In regard to specific aspects of nontechnical skills, residents’ heightened stress and workload predicted statistically significant lower situation awareness and decision-making during trauma scenarios. Conclusion: Residents’ perceived stress and workload significantly impaired their nontechnical skills during trauma simulations. This finding highlights the need to offer stress management and performance-optimizing mental skills training to trainees to lower their stress and optimize nontechnical skills performance during challenging situations.","author":[{"dropping-particle":"","family":"Anton","given":"Nicholas E.","non-dropping-particle":"","parse-names":false,"suffix":""},{"dropping-particle":"","family":"Huffman","given":"Elizabeth M.","non-dropping-particle":"","parse-names":false,"suffix":""},{"dropping-particle":"","family":"Ahmed","given":"Rami A.","non-dropping-particle":"","parse-names":false,"suffix":""},{"dropping-particle":"","family":"Cooper","given":"Dylan D.","non-dropping-particle":"","parse-names":false,"suffix":""},{"dropping-particle":"","family":"Athanasiadis","given":"Dimitrios I.","non-dropping-particle":"","parse-names":false,"suffix":""},{"dropping-particle":"","family":"Cha","given":"Jackie","non-dropping-particle":"","parse-names":false,"suffix":""},{"dropping-particle":"","family":"Stefanidis","given":"Dimitrios","non-dropping-particle":"","parse-names":false,"suffix":""},{"dropping-particle":"","family":"Lee","given":"Nicole K.","non-dropping-particle":"","parse-names":false,"suffix":""}],"container-title":"Surgery","id":"ITEM-1","issue":"4","issued":{"date-parts":[["2021"]]},"page":"1074-1079","title":"Stress and resident interdisciplinary team performance: Results of a pilot trauma simulation program","type":"article-journal","volume":"170"},"uris":["http://www.mendeley.com/documents/?uuid=5c4992fb-cfc1-4899-8a0c-e3b3a3ef1a5e"]}],"mendeley":{"formattedCitation":"(105)","plainTextFormattedCitation":"(105)","previouslyFormattedCitation":"(105)"},"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(105)</w:t>
            </w:r>
            <w:r w:rsidRPr="70FF01BB">
              <w:rPr>
                <w:rFonts w:ascii="Arial" w:hAnsi="Arial" w:cs="Arial"/>
                <w:sz w:val="16"/>
                <w:szCs w:val="16"/>
              </w:rPr>
              <w:fldChar w:fldCharType="end"/>
            </w:r>
          </w:p>
        </w:tc>
        <w:tc>
          <w:tcPr>
            <w:tcW w:w="1868" w:type="dxa"/>
            <w:tcBorders>
              <w:top w:val="single" w:sz="4" w:space="0" w:color="auto"/>
              <w:left w:val="single" w:sz="8" w:space="0" w:color="auto"/>
              <w:bottom w:val="single" w:sz="4" w:space="0" w:color="auto"/>
              <w:right w:val="single" w:sz="4" w:space="0" w:color="auto"/>
            </w:tcBorders>
            <w:noWrap/>
            <w:vAlign w:val="bottom"/>
            <w:hideMark/>
          </w:tcPr>
          <w:p w14:paraId="192784DA"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Anton et al., 2021</w:t>
            </w:r>
          </w:p>
        </w:tc>
        <w:tc>
          <w:tcPr>
            <w:tcW w:w="1931" w:type="dxa"/>
            <w:tcBorders>
              <w:top w:val="nil"/>
              <w:left w:val="single" w:sz="8" w:space="0" w:color="auto"/>
              <w:bottom w:val="single" w:sz="4" w:space="0" w:color="auto"/>
              <w:right w:val="single" w:sz="4" w:space="0" w:color="auto"/>
            </w:tcBorders>
            <w:noWrap/>
            <w:vAlign w:val="bottom"/>
            <w:hideMark/>
          </w:tcPr>
          <w:p w14:paraId="1C205692"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269" w:type="dxa"/>
            <w:tcBorders>
              <w:top w:val="nil"/>
              <w:left w:val="single" w:sz="8" w:space="0" w:color="auto"/>
              <w:bottom w:val="single" w:sz="4" w:space="0" w:color="auto"/>
              <w:right w:val="single" w:sz="4" w:space="0" w:color="auto"/>
            </w:tcBorders>
            <w:noWrap/>
            <w:vAlign w:val="bottom"/>
            <w:hideMark/>
          </w:tcPr>
          <w:p w14:paraId="1FA5DB6F"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38DFF43C"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42" w:type="dxa"/>
            <w:tcBorders>
              <w:top w:val="nil"/>
              <w:left w:val="single" w:sz="8" w:space="0" w:color="auto"/>
              <w:bottom w:val="single" w:sz="4" w:space="0" w:color="auto"/>
              <w:right w:val="single" w:sz="4" w:space="0" w:color="auto"/>
            </w:tcBorders>
            <w:noWrap/>
            <w:vAlign w:val="bottom"/>
            <w:hideMark/>
          </w:tcPr>
          <w:p w14:paraId="02A98382"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701" w:type="dxa"/>
            <w:tcBorders>
              <w:top w:val="nil"/>
              <w:left w:val="single" w:sz="8" w:space="0" w:color="auto"/>
              <w:bottom w:val="single" w:sz="4" w:space="0" w:color="auto"/>
              <w:right w:val="single" w:sz="4" w:space="0" w:color="auto"/>
            </w:tcBorders>
            <w:noWrap/>
            <w:vAlign w:val="bottom"/>
            <w:hideMark/>
          </w:tcPr>
          <w:p w14:paraId="3C26C04F"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35AC6561"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0609DF" w14:paraId="36D3D97A" w14:textId="77777777" w:rsidTr="005A1E56">
        <w:trPr>
          <w:trHeight w:val="288"/>
        </w:trPr>
        <w:tc>
          <w:tcPr>
            <w:tcW w:w="983" w:type="dxa"/>
            <w:tcBorders>
              <w:top w:val="single" w:sz="4" w:space="0" w:color="auto"/>
              <w:left w:val="single" w:sz="8" w:space="0" w:color="auto"/>
              <w:bottom w:val="single" w:sz="4" w:space="0" w:color="auto"/>
              <w:right w:val="single" w:sz="8" w:space="0" w:color="auto"/>
            </w:tcBorders>
          </w:tcPr>
          <w:p w14:paraId="46BBA1D0"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10.1097/j.jcrs.0000000000000798","ISSN":"0886-3350","author":[{"dropping-particle":"","family":"Cap","given":"Veronika","non-dropping-particle":"","parse-names":false,"suffix":""},{"dropping-particle":"","family":"Palkovits","given":"Stefan","non-dropping-particle":"","parse-names":false,"suffix":""},{"dropping-particle":"","family":"Bijak","given":"Manfred","non-dropping-particle":"","parse-names":false,"suffix":""},{"dropping-particle":"","family":"Ruiss","given":"Manuel","non-dropping-particle":"","parse-names":false,"suffix":""},{"dropping-particle":"","family":"Schmoll","given":"Martin","non-dropping-particle":"","parse-names":false,"suffix":""},{"dropping-particle":"","family":"Findl","given":"Oliver","non-dropping-particle":"","parse-names":false,"suffix":""}],"container-title":"Journal of Cataract and Refractive Surgery","id":"ITEM-1","issued":{"date-parts":[["0"]]},"title":"A Novel Approach to Quantifying Acute Stress in Cataract Surgeons to Investigate the Relationship Between Surgeon Experience and Intraoperative Stress","type":"article-journal"},"uris":["http://www.mendeley.com/documents/?uuid=4923ac45-d99f-417b-9afa-13e5e38d3d74"]}],"mendeley":{"formattedCitation":"(80)","plainTextFormattedCitation":"(80)","previouslyFormattedCitation":"(80)"},"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(80)</w:t>
            </w:r>
            <w:r w:rsidRPr="70FF01BB">
              <w:rPr>
                <w:rFonts w:ascii="Arial" w:hAnsi="Arial" w:cs="Arial"/>
                <w:sz w:val="16"/>
                <w:szCs w:val="16"/>
              </w:rPr>
              <w:fldChar w:fldCharType="end"/>
            </w:r>
          </w:p>
        </w:tc>
        <w:tc>
          <w:tcPr>
            <w:tcW w:w="1868" w:type="dxa"/>
            <w:tcBorders>
              <w:top w:val="single" w:sz="4" w:space="0" w:color="auto"/>
              <w:left w:val="single" w:sz="8" w:space="0" w:color="auto"/>
              <w:bottom w:val="single" w:sz="4" w:space="0" w:color="auto"/>
              <w:right w:val="single" w:sz="4" w:space="0" w:color="auto"/>
            </w:tcBorders>
            <w:noWrap/>
            <w:vAlign w:val="bottom"/>
            <w:hideMark/>
          </w:tcPr>
          <w:p w14:paraId="273B8C85"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Cap et al., 2021</w:t>
            </w:r>
          </w:p>
        </w:tc>
        <w:tc>
          <w:tcPr>
            <w:tcW w:w="1931" w:type="dxa"/>
            <w:tcBorders>
              <w:top w:val="nil"/>
              <w:left w:val="single" w:sz="8" w:space="0" w:color="auto"/>
              <w:bottom w:val="single" w:sz="4" w:space="0" w:color="auto"/>
              <w:right w:val="single" w:sz="4" w:space="0" w:color="auto"/>
            </w:tcBorders>
            <w:noWrap/>
            <w:vAlign w:val="bottom"/>
            <w:hideMark/>
          </w:tcPr>
          <w:p w14:paraId="328A89A2"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269" w:type="dxa"/>
            <w:tcBorders>
              <w:top w:val="nil"/>
              <w:left w:val="single" w:sz="8" w:space="0" w:color="auto"/>
              <w:bottom w:val="single" w:sz="4" w:space="0" w:color="auto"/>
              <w:right w:val="single" w:sz="4" w:space="0" w:color="auto"/>
            </w:tcBorders>
            <w:noWrap/>
            <w:vAlign w:val="bottom"/>
            <w:hideMark/>
          </w:tcPr>
          <w:p w14:paraId="07CED1FD"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245A8AFD"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4092C89A"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5A269ABA"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160AC929" w14:textId="77777777" w:rsidR="00D724F8" w:rsidRPr="000609DF"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Some concerns</w:t>
            </w:r>
          </w:p>
        </w:tc>
      </w:tr>
      <w:tr w:rsidR="00D724F8" w:rsidRPr="005372EC" w14:paraId="6B2C4E7A" w14:textId="77777777" w:rsidTr="005A1E56">
        <w:trPr>
          <w:trHeight w:val="288"/>
        </w:trPr>
        <w:tc>
          <w:tcPr>
            <w:tcW w:w="983" w:type="dxa"/>
            <w:tcBorders>
              <w:top w:val="single" w:sz="4" w:space="0" w:color="auto"/>
              <w:left w:val="single" w:sz="8" w:space="0" w:color="auto"/>
              <w:bottom w:val="single" w:sz="4" w:space="0" w:color="auto"/>
              <w:right w:val="single" w:sz="8" w:space="0" w:color="auto"/>
            </w:tcBorders>
          </w:tcPr>
          <w:p w14:paraId="784ADDE8"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{"citationItems":[{"id":"ITEM-1","itemData":{"DOI":"10.1186/s13037-021-00294-6","ISSN":"17549493","abstract":"Background: During surgery, surgeons often work under stressful conditions, which could affect patient safety. Reducing intraoperative stress for surgeons could benefit surgeons and subsequently patients. It is difficult to study stress and stress relief in real life situations due to the multitude of confounding factors. The aim of this study was to evaluate simulated intraoperative stressors on surgeons’ stress levels and the effect of an intervention (pause including a sugar-containing drink) during standardized experiments (simulated operations). Methods: An experimental interventional study was conducted using a simulator. The healthy surgeon volunteers were randomized to intervention and control in a cross-over design. Primary endpoint was salivary cortisol difference between a pause including a sugar containing drink (intervention) and controls. Secondary endpoints were change in heart rate, change in self-perceived stress measured by the State Trait Anxiety Inventory (STAI), and experience of the intraoperative pause. Endpoints were calculated with a mixed effect analysis of covariance (ANCOVA) model. Results: Seventeen surgeons performed 32 experiments. There was no statistically significant difference in salivary cortisol between simulations with and without a pause including a sugar-containing drink; percent reduction, 8% (0.92 (95%CI:0.72;1.18)), p-value = 0.469. The surgeons’ self-estimation of intervention was positive, but there was no statistically significant difference in heart rate or STAI. Conclusions: The surgeons’ experience of a pause including a drink was positive but there were no differences in physiological outcomes of the intervention. Lessons learned from this study could contribute to optimizing design of future studies. Trial registration: Clinicaltrials.gov NCT04626648, Registered November 6, 2020, retrospectively registered.","author":[{"dropping-particle":"","family":"Erestam","given":"Sofia","non-dropping-particle":"","parse-names":false,"suffix":""},{"dropping-particle":"","family":"Bock","given":"David","non-dropping-particle":"","parse-names":false,"suffix":""},{"dropping-particle":"","family":"Andersson","given":"Annette Erichsen","non-dropping-particle":"","parse-names":false,"suffix":""},{"dropping-particle":"","family":"Haglind","given":"Eva","non-dropping-particle":"","parse-names":false,"suffix":""},{"dropping-particle":"","family":"Park","given":"Jennifer","non-dropping-particle":"","parse-names":false,"suffix":""},{"dropping-particle":"","family":"Angenete","given":"Eva","non-dropping-particle":"","parse-names":false,"suffix":""}],"container-title":"Patient Safety in Surgery","id":"ITEM-1","issued":{"date-parts":[["2021"]]},"page":"23","title":"The perceived benefit of intraoperative stress modifiers for surgeons: an experimental simulation study in volunteers","type":"article-journal","volume":"15"},"uris":["http://www.mendeley.com/documents/?uuid=a42808a9-cd13-45ab-bf8d-b929b17a6cea"]}],"mendeley":{"formattedCitation":"(81)","plainTextFormattedCitation":"(81)","previouslyFormattedCitation":"(81)"},"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(81)</w:t>
            </w:r>
            <w:r w:rsidRPr="70FF01BB">
              <w:rPr>
                <w:rFonts w:ascii="Arial" w:hAnsi="Arial" w:cs="Arial"/>
                <w:sz w:val="16"/>
                <w:szCs w:val="16"/>
              </w:rPr>
              <w:fldChar w:fldCharType="end"/>
            </w:r>
          </w:p>
        </w:tc>
        <w:tc>
          <w:tcPr>
            <w:tcW w:w="1868" w:type="dxa"/>
            <w:tcBorders>
              <w:top w:val="single" w:sz="4" w:space="0" w:color="auto"/>
              <w:left w:val="single" w:sz="8" w:space="0" w:color="auto"/>
              <w:bottom w:val="single" w:sz="4" w:space="0" w:color="auto"/>
              <w:right w:val="single" w:sz="4" w:space="0" w:color="auto"/>
            </w:tcBorders>
            <w:noWrap/>
            <w:vAlign w:val="bottom"/>
            <w:hideMark/>
          </w:tcPr>
          <w:p w14:paraId="6B2FFD26" w14:textId="77777777" w:rsidR="00D724F8" w:rsidRPr="005372EC" w:rsidRDefault="00D724F8" w:rsidP="005A1E56">
            <w:pPr>
              <w:spacing w:after="0" w:line="240" w:lineRule="auto"/>
              <w:rPr>
                <w:rFonts w:ascii="Arial" w:eastAsia="Times New Roman" w:hAnsi="Arial" w:cs="Arial"/>
                <w:color w:val="000000"/>
                <w:sz w:val="16"/>
                <w:szCs w:val="16"/>
                <w:lang w:eastAsia="es-ES"/>
              </w:rPr>
            </w:pPr>
            <w:proofErr w:type="spellStart"/>
            <w:r w:rsidRPr="70FF01BB">
              <w:rPr>
                <w:rFonts w:ascii="Arial" w:eastAsia="Times New Roman" w:hAnsi="Arial" w:cs="Arial"/>
                <w:color w:val="000000" w:themeColor="text1"/>
                <w:sz w:val="16"/>
                <w:szCs w:val="16"/>
              </w:rPr>
              <w:t>Erestam</w:t>
            </w:r>
            <w:proofErr w:type="spellEnd"/>
            <w:r w:rsidRPr="70FF01BB">
              <w:rPr>
                <w:rFonts w:ascii="Arial" w:eastAsia="Times New Roman" w:hAnsi="Arial" w:cs="Arial"/>
                <w:color w:val="000000" w:themeColor="text1"/>
                <w:sz w:val="16"/>
                <w:szCs w:val="16"/>
              </w:rPr>
              <w:t xml:space="preserve"> et al., 2021</w:t>
            </w:r>
          </w:p>
        </w:tc>
        <w:tc>
          <w:tcPr>
            <w:tcW w:w="1931" w:type="dxa"/>
            <w:tcBorders>
              <w:top w:val="nil"/>
              <w:left w:val="single" w:sz="8" w:space="0" w:color="auto"/>
              <w:bottom w:val="single" w:sz="4" w:space="0" w:color="auto"/>
              <w:right w:val="single" w:sz="4" w:space="0" w:color="auto"/>
            </w:tcBorders>
            <w:noWrap/>
            <w:vAlign w:val="bottom"/>
            <w:hideMark/>
          </w:tcPr>
          <w:p w14:paraId="2B0F7BFD"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269" w:type="dxa"/>
            <w:tcBorders>
              <w:top w:val="nil"/>
              <w:left w:val="single" w:sz="8" w:space="0" w:color="auto"/>
              <w:bottom w:val="single" w:sz="4" w:space="0" w:color="auto"/>
              <w:right w:val="single" w:sz="4" w:space="0" w:color="auto"/>
            </w:tcBorders>
            <w:noWrap/>
            <w:vAlign w:val="bottom"/>
            <w:hideMark/>
          </w:tcPr>
          <w:p w14:paraId="0C146305"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05275C96"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52178895"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6BDFAEC4"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7F4091F5"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5372EC" w14:paraId="65C0AB68" w14:textId="77777777" w:rsidTr="005A1E56">
        <w:trPr>
          <w:trHeight w:val="288"/>
        </w:trPr>
        <w:tc>
          <w:tcPr>
            <w:tcW w:w="983" w:type="dxa"/>
            <w:tcBorders>
              <w:top w:val="single" w:sz="4" w:space="0" w:color="auto"/>
              <w:left w:val="single" w:sz="8" w:space="0" w:color="auto"/>
              <w:bottom w:val="single" w:sz="4" w:space="0" w:color="auto"/>
              <w:right w:val="single" w:sz="8" w:space="0" w:color="auto"/>
            </w:tcBorders>
          </w:tcPr>
          <w:p w14:paraId="1DCB7C82" w14:textId="77777777" w:rsidR="00D724F8" w:rsidRPr="005372EC" w:rsidRDefault="00D724F8" w:rsidP="005A1E56">
            <w:pPr>
              <w:rPr>
                <w:rFonts w:ascii="Arial" w:hAnsi="Arial" w:cs="Arial"/>
                <w:sz w:val="16"/>
                <w:szCs w:val="16"/>
              </w:rPr>
            </w:pPr>
            <w:r w:rsidRPr="70FF01BB">
              <w:rPr>
                <w:rFonts w:ascii="Arial" w:hAnsi="Arial" w:cs="Arial"/>
                <w:sz w:val="16"/>
                <w:szCs w:val="16"/>
              </w:rPr>
              <w:fldChar w:fldCharType="begin" w:fldLock="1"/>
            </w:r>
            <w:r w:rsidRPr="70FF01BB">
              <w:rPr>
                <w:rFonts w:ascii="Arial" w:hAnsi="Arial" w:cs="Arial"/>
                <w:sz w:val="16"/>
                <w:szCs w:val="16"/>
              </w:rPr>
              <w:instrText>ADDIN CSL_CITATION {"citationItems":[{"id":"ITEM-1","itemData":{"DOI":"10.3390/s21124016","ISSN":"14248220","PMID":"34200844","abstract":"Can we recognize intraoperative real-time stress of orthopedic surgeons and which factors affect the stress of intraoperative orthopedic surgeons with EEG and HRV? From June 2018 to November 2018, 265 consecutive records of intraoperative stress measures for orthopedic surgeons were compared. Intraoperative EEG waves and HRV, comprising beats per minute (BPM) and low frequency (LF)/high frequency (HF) ratio were gathered for stress-associated parameters. Differences in stress parameters according to the experience of surgeons, intraoperative blood loss, and operation time depending on whether or not a tourniquet were investigated. Stress-associated EEG signals including beta 3 waves were significantly higher compared to EEG at rest for novice surgeons as the procedure progressed. Among senior surgeons, the LF/HF ratio reflecting the physical demands of stress was higher than that of novice surgeons at all stages. In surgeries including tourniquets, operation time was positively correlated with stress parameters including beta 1, beta 2, beta 3 waves and BPM. In non-tourniquet orthopedic surgeries, intraoperative blood loss was positively correlated with beta 1, beta 2, and beta 3 waves. Among orthopedic surgeons, those with less experience demonstrated relatively higher levels of stress during surgery. Prolonged operation time or excessive intraoperative blood loss appear to be contributing factors that increase stress.","author":[{"dropping-particle":"","family":"Kwon","given":"Ji Won","non-dropping-particle":"","parse-names":false,"suffix":""},{"dropping-particle":"Bin","family":"Lee","given":"Soo","non-dropping-particle":"","parse-names":false,"suffix":""},{"dropping-particle":"","family":"Sung","given":"Sahyun","non-dropping-particle":"","parse-names":false,"suffix":""},{"dropping-particle":"","family":"Park","given":"Yung","non-dropping-particle":"","parse-names":false,"suffix":""},{"dropping-particle":"","family":"Ha","given":"Joong Won","non-dropping-particle":"","parse-names":false,"suffix":""},{"dropping-particle":"","family":"Kim","given":"Gihun","non-dropping-particle":"","parse-names":false,"suffix":""},{"dropping-particle":"","family":"Suk","given":"Kyung Soo","non-dropping-particle":"","parse-names":false,"suffix":""},{"dropping-particle":"","family":"Kim","given":"Hak Sun","non-dropping-particle":"","parse-names":false,"suffix":""},{"dropping-particle":"","family":"Lee","given":"Hwan Mo","non-dropping-particle":"","parse-names":false,"suffix":""},{"dropping-particle":"","family":"Moon","given":"Seong Hwan","non-dropping-particle":"","parse-names":false,"suffix":""},{"dropping-particle":"","family":"Lee","given":"Byung Ho","non-dropping-particle":"","parse-names":false,"suffix":""}],"container-title":"Sensors","id":"ITEM-1","issue":"12","issued":{"date-parts":[["2021"]]},"page":"4016","title":"Which factors affect the stress of intraoperative orthopedic surgeons by using electroencephalography signals and heart rate variability?","type":"article-journal","volume":"21"},"uris":["http://www.mendeley.com/documents/?uuid=1ec9b701-fe4b-4277-b04a-da5ac11443a0"]}],"mendeley":{"formattedCitation":"(82)","plainTextFormattedCitation":"(82)","previouslyFormattedCitation":"(82)"},"properties":{"noteIndex":0},"schema":"https://github.com/citation-style-language/schema/raw/master/csl-citation.json"}</w:instrText>
            </w:r>
            <w:r w:rsidRPr="70FF01BB">
              <w:rPr>
                <w:rFonts w:ascii="Arial" w:hAnsi="Arial" w:cs="Arial"/>
                <w:sz w:val="16"/>
                <w:szCs w:val="16"/>
              </w:rPr>
              <w:fldChar w:fldCharType="separate"/>
            </w:r>
            <w:r w:rsidRPr="70FF01BB">
              <w:rPr>
                <w:rFonts w:ascii="Arial" w:hAnsi="Arial" w:cs="Arial"/>
                <w:sz w:val="16"/>
                <w:szCs w:val="16"/>
              </w:rPr>
              <w:t>(82)</w:t>
            </w:r>
            <w:r w:rsidRPr="70FF01BB">
              <w:rPr>
                <w:rFonts w:ascii="Arial" w:hAnsi="Arial" w:cs="Arial"/>
                <w:sz w:val="16"/>
                <w:szCs w:val="16"/>
              </w:rPr>
              <w:fldChar w:fldCharType="end"/>
            </w:r>
          </w:p>
        </w:tc>
        <w:tc>
          <w:tcPr>
            <w:tcW w:w="1868" w:type="dxa"/>
            <w:tcBorders>
              <w:top w:val="single" w:sz="4" w:space="0" w:color="auto"/>
              <w:left w:val="single" w:sz="8" w:space="0" w:color="auto"/>
              <w:bottom w:val="single" w:sz="4" w:space="0" w:color="auto"/>
              <w:right w:val="single" w:sz="4" w:space="0" w:color="auto"/>
            </w:tcBorders>
            <w:noWrap/>
            <w:vAlign w:val="bottom"/>
            <w:hideMark/>
          </w:tcPr>
          <w:p w14:paraId="22744724"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Kwon et al., 2021</w:t>
            </w:r>
          </w:p>
        </w:tc>
        <w:tc>
          <w:tcPr>
            <w:tcW w:w="1931" w:type="dxa"/>
            <w:tcBorders>
              <w:top w:val="nil"/>
              <w:left w:val="single" w:sz="8" w:space="0" w:color="auto"/>
              <w:bottom w:val="single" w:sz="4" w:space="0" w:color="auto"/>
              <w:right w:val="single" w:sz="4" w:space="0" w:color="auto"/>
            </w:tcBorders>
            <w:noWrap/>
            <w:vAlign w:val="bottom"/>
            <w:hideMark/>
          </w:tcPr>
          <w:p w14:paraId="61DA0798"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269" w:type="dxa"/>
            <w:tcBorders>
              <w:top w:val="nil"/>
              <w:left w:val="single" w:sz="8" w:space="0" w:color="auto"/>
              <w:bottom w:val="single" w:sz="4" w:space="0" w:color="auto"/>
              <w:right w:val="single" w:sz="4" w:space="0" w:color="auto"/>
            </w:tcBorders>
            <w:noWrap/>
            <w:vAlign w:val="bottom"/>
            <w:hideMark/>
          </w:tcPr>
          <w:p w14:paraId="0462320E"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860" w:type="dxa"/>
            <w:tcBorders>
              <w:top w:val="nil"/>
              <w:left w:val="single" w:sz="8" w:space="0" w:color="auto"/>
              <w:bottom w:val="single" w:sz="4" w:space="0" w:color="auto"/>
              <w:right w:val="single" w:sz="4" w:space="0" w:color="auto"/>
            </w:tcBorders>
            <w:noWrap/>
            <w:vAlign w:val="bottom"/>
            <w:hideMark/>
          </w:tcPr>
          <w:p w14:paraId="462702C6"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61A24EE7"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2AB9E01E"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c>
          <w:tcPr>
            <w:tcW w:w="1560" w:type="dxa"/>
            <w:tcBorders>
              <w:top w:val="nil"/>
              <w:left w:val="single" w:sz="8" w:space="0" w:color="auto"/>
              <w:bottom w:val="single" w:sz="4" w:space="0" w:color="auto"/>
              <w:right w:val="single" w:sz="4" w:space="0" w:color="auto"/>
            </w:tcBorders>
            <w:noWrap/>
            <w:vAlign w:val="bottom"/>
            <w:hideMark/>
          </w:tcPr>
          <w:p w14:paraId="37D79D77"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Low</w:t>
            </w:r>
          </w:p>
        </w:tc>
      </w:tr>
      <w:tr w:rsidR="00D724F8" w:rsidRPr="005372EC" w14:paraId="16AEE920" w14:textId="77777777" w:rsidTr="005A1E56">
        <w:trPr>
          <w:trHeight w:val="288"/>
        </w:trPr>
        <w:tc>
          <w:tcPr>
            <w:tcW w:w="983" w:type="dxa"/>
            <w:tcBorders>
              <w:top w:val="single" w:sz="4" w:space="0" w:color="auto"/>
              <w:left w:val="single" w:sz="8" w:space="0" w:color="auto"/>
              <w:bottom w:val="single" w:sz="8" w:space="0" w:color="auto"/>
              <w:right w:val="single" w:sz="8" w:space="0" w:color="auto"/>
            </w:tcBorders>
          </w:tcPr>
          <w:p w14:paraId="2B7C9212" w14:textId="77777777" w:rsidR="00D724F8" w:rsidRPr="005372EC" w:rsidRDefault="00D724F8" w:rsidP="005A1E56">
            <w:pPr>
              <w:rPr>
                <w:rFonts w:ascii="Arial" w:hAnsi="Arial" w:cs="Arial"/>
                <w:sz w:val="16"/>
                <w:szCs w:val="16"/>
                <w:vertAlign w:val="superscript"/>
              </w:rPr>
            </w:pPr>
            <w:r w:rsidRPr="70FF01BB">
              <w:rPr>
                <w:rFonts w:ascii="Arial" w:hAnsi="Arial" w:cs="Arial"/>
                <w:sz w:val="16"/>
                <w:szCs w:val="16"/>
              </w:rPr>
              <w:t>(56)</w:t>
            </w:r>
          </w:p>
        </w:tc>
        <w:tc>
          <w:tcPr>
            <w:tcW w:w="1868" w:type="dxa"/>
            <w:tcBorders>
              <w:top w:val="nil"/>
              <w:left w:val="single" w:sz="8" w:space="0" w:color="auto"/>
              <w:bottom w:val="single" w:sz="8" w:space="0" w:color="auto"/>
              <w:right w:val="nil"/>
            </w:tcBorders>
            <w:noWrap/>
            <w:vAlign w:val="bottom"/>
            <w:hideMark/>
          </w:tcPr>
          <w:p w14:paraId="64FC757C"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Cook et al., 2016</w:t>
            </w:r>
          </w:p>
        </w:tc>
        <w:tc>
          <w:tcPr>
            <w:tcW w:w="1931" w:type="dxa"/>
            <w:tcBorders>
              <w:top w:val="nil"/>
              <w:left w:val="single" w:sz="8" w:space="0" w:color="auto"/>
              <w:bottom w:val="single" w:sz="4" w:space="0" w:color="auto"/>
              <w:right w:val="single" w:sz="4" w:space="0" w:color="auto"/>
            </w:tcBorders>
            <w:noWrap/>
            <w:vAlign w:val="bottom"/>
            <w:hideMark/>
          </w:tcPr>
          <w:p w14:paraId="4433F1AF"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High</w:t>
            </w:r>
          </w:p>
        </w:tc>
        <w:tc>
          <w:tcPr>
            <w:tcW w:w="1269" w:type="dxa"/>
            <w:tcBorders>
              <w:top w:val="nil"/>
              <w:left w:val="single" w:sz="8" w:space="0" w:color="auto"/>
              <w:bottom w:val="single" w:sz="4" w:space="0" w:color="auto"/>
              <w:right w:val="single" w:sz="4" w:space="0" w:color="auto"/>
            </w:tcBorders>
            <w:noWrap/>
            <w:vAlign w:val="bottom"/>
            <w:hideMark/>
          </w:tcPr>
          <w:p w14:paraId="17CBA609"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High</w:t>
            </w:r>
          </w:p>
        </w:tc>
        <w:tc>
          <w:tcPr>
            <w:tcW w:w="1860" w:type="dxa"/>
            <w:tcBorders>
              <w:top w:val="nil"/>
              <w:left w:val="single" w:sz="8" w:space="0" w:color="auto"/>
              <w:bottom w:val="single" w:sz="4" w:space="0" w:color="auto"/>
              <w:right w:val="single" w:sz="4" w:space="0" w:color="auto"/>
            </w:tcBorders>
            <w:noWrap/>
            <w:vAlign w:val="bottom"/>
            <w:hideMark/>
          </w:tcPr>
          <w:p w14:paraId="7AAD6A7A"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Pr>
                <w:rFonts w:ascii="Arial" w:eastAsia="Times New Roman" w:hAnsi="Arial" w:cs="Arial"/>
                <w:color w:val="000000" w:themeColor="text1"/>
                <w:sz w:val="16"/>
                <w:szCs w:val="16"/>
              </w:rPr>
              <w:t>No information</w:t>
            </w:r>
          </w:p>
        </w:tc>
        <w:tc>
          <w:tcPr>
            <w:tcW w:w="1842" w:type="dxa"/>
            <w:tcBorders>
              <w:top w:val="nil"/>
              <w:left w:val="single" w:sz="8" w:space="0" w:color="auto"/>
              <w:bottom w:val="single" w:sz="4" w:space="0" w:color="auto"/>
              <w:right w:val="single" w:sz="4" w:space="0" w:color="auto"/>
            </w:tcBorders>
            <w:noWrap/>
            <w:vAlign w:val="bottom"/>
            <w:hideMark/>
          </w:tcPr>
          <w:p w14:paraId="69DAC7E6"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Pr>
                <w:rFonts w:ascii="Arial" w:eastAsia="Times New Roman" w:hAnsi="Arial" w:cs="Arial"/>
                <w:color w:val="000000" w:themeColor="text1"/>
                <w:sz w:val="16"/>
                <w:szCs w:val="16"/>
              </w:rPr>
              <w:t>No information</w:t>
            </w:r>
          </w:p>
        </w:tc>
        <w:tc>
          <w:tcPr>
            <w:tcW w:w="1701" w:type="dxa"/>
            <w:tcBorders>
              <w:top w:val="nil"/>
              <w:left w:val="single" w:sz="8" w:space="0" w:color="auto"/>
              <w:bottom w:val="single" w:sz="4" w:space="0" w:color="auto"/>
              <w:right w:val="single" w:sz="4" w:space="0" w:color="auto"/>
            </w:tcBorders>
            <w:noWrap/>
            <w:vAlign w:val="bottom"/>
            <w:hideMark/>
          </w:tcPr>
          <w:p w14:paraId="0933ACE2"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Pr>
                <w:rFonts w:ascii="Arial" w:eastAsia="Times New Roman" w:hAnsi="Arial" w:cs="Arial"/>
                <w:color w:val="000000" w:themeColor="text1"/>
                <w:sz w:val="16"/>
                <w:szCs w:val="16"/>
              </w:rPr>
              <w:t>High</w:t>
            </w:r>
          </w:p>
        </w:tc>
        <w:tc>
          <w:tcPr>
            <w:tcW w:w="1560" w:type="dxa"/>
            <w:tcBorders>
              <w:top w:val="nil"/>
              <w:left w:val="single" w:sz="8" w:space="0" w:color="auto"/>
              <w:bottom w:val="single" w:sz="4" w:space="0" w:color="auto"/>
              <w:right w:val="single" w:sz="4" w:space="0" w:color="auto"/>
            </w:tcBorders>
            <w:noWrap/>
            <w:vAlign w:val="bottom"/>
            <w:hideMark/>
          </w:tcPr>
          <w:p w14:paraId="1E7C03EA" w14:textId="77777777" w:rsidR="00D724F8" w:rsidRPr="005372EC" w:rsidRDefault="00D724F8" w:rsidP="005A1E56">
            <w:pPr>
              <w:spacing w:after="0" w:line="240" w:lineRule="auto"/>
              <w:rPr>
                <w:rFonts w:ascii="Arial" w:eastAsia="Times New Roman" w:hAnsi="Arial" w:cs="Arial"/>
                <w:color w:val="000000"/>
                <w:sz w:val="16"/>
                <w:szCs w:val="16"/>
                <w:lang w:eastAsia="es-ES"/>
              </w:rPr>
            </w:pPr>
            <w:r w:rsidRPr="70FF01BB">
              <w:rPr>
                <w:rFonts w:ascii="Arial" w:eastAsia="Times New Roman" w:hAnsi="Arial" w:cs="Arial"/>
                <w:color w:val="000000" w:themeColor="text1"/>
                <w:sz w:val="16"/>
                <w:szCs w:val="16"/>
              </w:rPr>
              <w:t>High</w:t>
            </w:r>
          </w:p>
        </w:tc>
      </w:tr>
    </w:tbl>
    <w:p w14:paraId="480BAB99" w14:textId="77777777" w:rsidR="00D724F8" w:rsidRDefault="00D724F8"/>
    <w:sectPr w:rsidR="00D724F8" w:rsidSect="00D724F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2"/>
  </w:docVars>
  <w:rsids>
    <w:rsidRoot w:val="00D724F8"/>
    <w:rsid w:val="0010740A"/>
    <w:rsid w:val="00D724F8"/>
    <w:rsid w:val="00EC4A7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DF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D724F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D724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32d9f9d-0018-4d2f-a0d1-8993ca23cbfb" xsi:nil="true"/>
    <CorpSiteZipContact xmlns="8bbd4995-53b7-43e2-b62f-10947586ac31" xsi:nil="true"/>
    <CorpSiteProjectLeader xmlns="8bbd4995-53b7-43e2-b62f-10947586ac31">
      <UserInfo>
        <DisplayName/>
        <AccountId xsi:nil="true"/>
        <AccountType/>
      </UserInfo>
    </CorpSiteProjectLeader>
    <CorpSiteSubTitle xmlns="8bbd4995-53b7-43e2-b62f-10947586ac31" xsi:nil="true"/>
    <CorpSiteTags xmlns="8bbd4995-53b7-43e2-b62f-10947586ac31" xsi:nil="true"/>
    <CorpSiteISBN xmlns="8bbd4995-53b7-43e2-b62f-10947586ac31" xsi:nil="true"/>
    <CorpWorkflowFeedback xmlns="8bbd4995-53b7-43e2-b62f-10947586ac31" xsi:nil="true"/>
    <CorpSiteAccess xmlns="8bbd4995-53b7-43e2-b62f-10947586ac31">Kun navngitte medlemmer</CorpSiteAccess>
    <CorpSiteRecipientPerson xmlns="8bbd4995-53b7-43e2-b62f-10947586ac31" xsi:nil="true"/>
    <CorpSiteProjectNumber xmlns="8bbd4995-53b7-43e2-b62f-10947586ac31" xsi:nil="true"/>
    <CorpSiteProjectName xmlns="8bbd4995-53b7-43e2-b62f-10947586ac31" xsi:nil="true"/>
    <CorpDocInstitute xmlns="8bbd4995-53b7-43e2-b62f-10947586ac31" xsi:nil="true"/>
    <CorpSiteInstitutePhone xmlns="8bbd4995-53b7-43e2-b62f-10947586ac31" xsi:nil="true"/>
    <CorpWorkflowStatus xmlns="8bbd4995-53b7-43e2-b62f-10947586ac31" xsi:nil="true"/>
    <CorpSiteProjectOwner xmlns="8bbd4995-53b7-43e2-b62f-10947586ac31">
      <UserInfo>
        <DisplayName/>
        <AccountId xsi:nil="true"/>
        <AccountType/>
      </UserInfo>
    </CorpSiteProjectOwner>
    <CorpDocPageClassificationNbNo xmlns="8bbd4995-53b7-43e2-b62f-10947586ac31">Åpen</CorpDocPageClassificationNbNo>
    <CorpDocClassificationEnUs xmlns="8bbd4995-53b7-43e2-b62f-10947586ac31">Unrestricted</CorpDocClassificationEnUs>
    <CorpDocClassificationNbNo xmlns="8bbd4995-53b7-43e2-b62f-10947586ac31">Åpen</CorpDocClassificationNbNo>
    <CorpSiteClassification xmlns="8bbd4995-53b7-43e2-b62f-10947586ac31">Åpen</CorpSiteClassification>
    <CorpSiteInstituteEmail xmlns="8bbd4995-53b7-43e2-b62f-10947586ac31" xsi:nil="true"/>
    <lcf76f155ced4ddcb4097134ff3c332f xmlns="d515e479-e876-41bc-b903-eeafd5953364">
      <Terms xmlns="http://schemas.microsoft.com/office/infopath/2007/PartnerControls"/>
    </lcf76f155ced4ddcb4097134ff3c332f>
    <CorpSiteCoAuthors xmlns="8bbd4995-53b7-43e2-b62f-10947586ac31" xsi:nil="true"/>
    <CorpSiteDocumentAuthor xmlns="8bbd4995-53b7-43e2-b62f-10947586ac31">
      <UserInfo>
        <DisplayName/>
        <AccountId xsi:nil="true"/>
        <AccountType/>
      </UserInfo>
    </CorpSiteDocumentAuthor>
    <CorpSiteInstituteEnUs xmlns="8bbd4995-53b7-43e2-b62f-10947586ac31" xsi:nil="true"/>
    <CorpSiteRecipientCompany xmlns="8bbd4995-53b7-43e2-b62f-10947586ac31" xsi:nil="true"/>
    <CorpSiteDocLanguage xmlns="8bbd4995-53b7-43e2-b62f-10947586ac31" xsi:nil="true"/>
    <CorpDocVersion xmlns="8bbd4995-53b7-43e2-b62f-10947586ac31" xsi:nil="true"/>
    <CorpWorkflowApproval xmlns="8bbd4995-53b7-43e2-b62f-10947586ac31" xsi:nil="true"/>
    <ArchiveStatus xmlns="8bbd4995-53b7-43e2-b62f-10947586ac31" xsi:nil="true"/>
    <CorpSiteProjectQA xmlns="8bbd4995-53b7-43e2-b62f-10947586ac31">
      <UserInfo>
        <DisplayName/>
        <AccountId xsi:nil="true"/>
        <AccountType/>
      </UserInfo>
    </CorpSiteProjectQA>
    <CorpSiteZipAddress xmlns="8bbd4995-53b7-43e2-b62f-10947586ac31" xsi:nil="true"/>
    <CorpSiteVATNumber xmlns="8bbd4995-53b7-43e2-b62f-10947586ac31" xsi:nil="true"/>
    <CorpSiteReportNumber xmlns="8bbd4995-53b7-43e2-b62f-10947586ac31" xsi:nil="true"/>
    <CorpSiteOurRef xmlns="8bbd4995-53b7-43e2-b62f-10947586ac31" xsi:nil="true"/>
    <CorpDocPageClassificationEnUs xmlns="8bbd4995-53b7-43e2-b62f-10947586ac31">Unrestricted</CorpDocPageClassificationEn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Generic document" ma:contentTypeID="0x01010031B82B69D2361148B4D8F7EC156802130800CE07702D32D87D439BF07C558887FFE3" ma:contentTypeVersion="47" ma:contentTypeDescription="Opprett et nytt dokument." ma:contentTypeScope="" ma:versionID="6063deac5db0ba97c1e303e4c6614880">
  <xsd:schema xmlns:xsd="http://www.w3.org/2001/XMLSchema" xmlns:xs="http://www.w3.org/2001/XMLSchema" xmlns:p="http://schemas.microsoft.com/office/2006/metadata/properties" xmlns:ns2="8bbd4995-53b7-43e2-b62f-10947586ac31" xmlns:ns3="d515e479-e876-41bc-b903-eeafd5953364" xmlns:ns4="932d9f9d-0018-4d2f-a0d1-8993ca23cbfb" targetNamespace="http://schemas.microsoft.com/office/2006/metadata/properties" ma:root="true" ma:fieldsID="01ff2453b74eb0782140160f25911faa" ns2:_="" ns3:_="" ns4:_="">
    <xsd:import namespace="8bbd4995-53b7-43e2-b62f-10947586ac31"/>
    <xsd:import namespace="d515e479-e876-41bc-b903-eeafd5953364"/>
    <xsd:import namespace="932d9f9d-0018-4d2f-a0d1-8993ca23cbfb"/>
    <xsd:element name="properties">
      <xsd:complexType>
        <xsd:sequence>
          <xsd:element name="documentManagement">
            <xsd:complexType>
              <xsd:all>
                <xsd:element ref="ns2:ArchiveStatus" minOccurs="0"/>
                <xsd:element ref="ns2:CorpWorkflowApproval" minOccurs="0"/>
                <xsd:element ref="ns2:CorpWorkflowFeedback" minOccurs="0"/>
                <xsd:element ref="ns2:CorpWorkflowStatus" minOccurs="0"/>
                <xsd:element ref="ns2:CorpSiteProjectNumber" minOccurs="0"/>
                <xsd:element ref="ns2:CorpSiteProjectName" minOccurs="0"/>
                <xsd:element ref="ns2:CorpSiteSubTitle" minOccurs="0"/>
                <xsd:element ref="ns2:CorpSiteAccess" minOccurs="0"/>
                <xsd:element ref="ns2:CorpSiteClassification" minOccurs="0"/>
                <xsd:element ref="ns2:CorpSiteTags" minOccurs="0"/>
                <xsd:element ref="ns2:CorpSiteProjectQA" minOccurs="0"/>
                <xsd:element ref="ns2:CorpSiteProjectOwner" minOccurs="0"/>
                <xsd:element ref="ns2:CorpSiteProjectLeader" minOccurs="0"/>
                <xsd:element ref="ns2:CorpSiteReportNumber" minOccurs="0"/>
                <xsd:element ref="ns2:CorpSiteISBN" minOccurs="0"/>
                <xsd:element ref="ns2:CorpSiteCoAuthors" minOccurs="0"/>
                <xsd:element ref="ns2:CorpSiteRecipientCompany" minOccurs="0"/>
                <xsd:element ref="ns2:CorpSiteRecipientPerson" minOccurs="0"/>
                <xsd:element ref="ns2:CorpSiteOurRef" minOccurs="0"/>
                <xsd:element ref="ns2:CorpSiteDocumentAuthor" minOccurs="0"/>
                <xsd:element ref="ns2:CorpSiteZipAddress" minOccurs="0"/>
                <xsd:element ref="ns2:CorpSiteZipContact" minOccurs="0"/>
                <xsd:element ref="ns2:CorpSiteVATNumber" minOccurs="0"/>
                <xsd:element ref="ns2:CorpSiteInstituteEmail" minOccurs="0"/>
                <xsd:element ref="ns2:CorpDocPageClassificationNbNo" minOccurs="0"/>
                <xsd:element ref="ns2:CorpDocClassificationEnUs" minOccurs="0"/>
                <xsd:element ref="ns2:CorpDocPageClassificationEnUs" minOccurs="0"/>
                <xsd:element ref="ns2:CorpDocClassificationNbNo" minOccurs="0"/>
                <xsd:element ref="ns2:CorpSiteInstituteEnUs" minOccurs="0"/>
                <xsd:element ref="ns2:CorpSiteInstitutePhone" minOccurs="0"/>
                <xsd:element ref="ns2:CorpSiteDocLanguage" minOccurs="0"/>
                <xsd:element ref="ns2:CorpDocInstitute" minOccurs="0"/>
                <xsd:element ref="ns2:CorpDocVers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d4995-53b7-43e2-b62f-10947586ac31" elementFormDefault="qualified">
    <xsd:import namespace="http://schemas.microsoft.com/office/2006/documentManagement/types"/>
    <xsd:import namespace="http://schemas.microsoft.com/office/infopath/2007/PartnerControls"/>
    <xsd:element name="ArchiveStatus" ma:index="8" nillable="true" ma:displayName="Archive Status" ma:internalName="ArchiveStatus">
      <xsd:simpleType>
        <xsd:restriction base="dms:Text">
          <xsd:maxLength value="255"/>
        </xsd:restriction>
      </xsd:simpleType>
    </xsd:element>
    <xsd:element name="CorpWorkflowApproval" ma:index="9" nillable="true" ma:displayName="Approval Status" ma:internalName="CorpWorkflowApproval">
      <xsd:simpleType>
        <xsd:restriction base="dms:Text">
          <xsd:maxLength value="255"/>
        </xsd:restriction>
      </xsd:simpleType>
    </xsd:element>
    <xsd:element name="CorpWorkflowFeedback" ma:index="10" nillable="true" ma:displayName="Reviewal Status" ma:internalName="CorpWorkflowFeedback">
      <xsd:simpleType>
        <xsd:restriction base="dms:Text">
          <xsd:maxLength value="255"/>
        </xsd:restriction>
      </xsd:simpleType>
    </xsd:element>
    <xsd:element name="CorpWorkflowStatus" ma:index="11" nillable="true" ma:displayName="Workflow Status" ma:internalName="CorpWorkflowStatus">
      <xsd:simpleType>
        <xsd:restriction base="dms:Text">
          <xsd:maxLength value="255"/>
        </xsd:restriction>
      </xsd:simpleType>
    </xsd:element>
    <xsd:element name="CorpSiteProjectNumber" ma:index="12" nillable="true" ma:displayName="Project Number" ma:default="" ma:internalName="CorpSiteProjectNumber">
      <xsd:simpleType>
        <xsd:restriction base="dms:Text">
          <xsd:maxLength value="255"/>
        </xsd:restriction>
      </xsd:simpleType>
    </xsd:element>
    <xsd:element name="CorpSiteProjectName" ma:index="13" nillable="true" ma:displayName="Project Name" ma:internalName="CorpSiteProjectName">
      <xsd:simpleType>
        <xsd:restriction base="dms:Text">
          <xsd:maxLength value="255"/>
        </xsd:restriction>
      </xsd:simpleType>
    </xsd:element>
    <xsd:element name="CorpSiteSubTitle" ma:index="14" nillable="true" ma:displayName="Sub Title" ma:internalName="CorpSiteSubTitle">
      <xsd:simpleType>
        <xsd:restriction base="dms:Text">
          <xsd:maxLength value="255"/>
        </xsd:restriction>
      </xsd:simpleType>
    </xsd:element>
    <xsd:element name="CorpSiteAccess" ma:index="15" nillable="true" ma:displayName="Access level" ma:default="Kun navngitte medlemmer" ma:format="Dropdown" ma:internalName="CorpSiteAccess">
      <xsd:simpleType>
        <xsd:restriction base="dms:Choice">
          <xsd:enumeration value="Kun navngitte medlemmer"/>
          <xsd:enumeration value="SINTEF"/>
          <xsd:enumeration value="Institutt"/>
          <xsd:enumeration value="Avdeling"/>
          <xsd:maxLength value="255"/>
        </xsd:restriction>
      </xsd:simpleType>
    </xsd:element>
    <xsd:element name="CorpSiteClassification" ma:index="16" nillable="true" ma:displayName="Classification" ma:default="Åpen" ma:internalName="CorpSiteClassification">
      <xsd:simpleType>
        <xsd:restriction base="dms:Choice">
          <xsd:enumeration value="Åpen"/>
          <xsd:enumeration value="Fortrolig"/>
          <xsd:enumeration value="Strengt fortrolig"/>
          <xsd:maxLength value="255"/>
        </xsd:restriction>
      </xsd:simpleType>
    </xsd:element>
    <xsd:element name="CorpSiteTags" ma:index="17" nillable="true" ma:displayName="Tags" ma:internalName="CorpSiteTags">
      <xsd:simpleType>
        <xsd:restriction base="dms:Text">
          <xsd:maxLength value="255"/>
        </xsd:restriction>
      </xsd:simpleType>
    </xsd:element>
    <xsd:element name="CorpSiteProjectQA" ma:index="18" nillable="true" ma:displayName="QA" ma:list="UserInfo" ma:SharePointGroup="0" ma:internalName="CorpSiteProjectQA"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rpSiteProjectOwner" ma:index="19" nillable="true" ma:displayName="Project Owner" ma:list="UserInfo" ma:SharePointGroup="0" ma:internalName="CorpSiteProjec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rpSiteProjectLeader" ma:index="20" nillable="true" ma:displayName="Project Leader" ma:list="UserInfo" ma:SharePointGroup="0" ma:internalName="CorpSiteProjectLead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rpSiteReportNumber" ma:index="21" nillable="true" ma:displayName="Report Number" ma:internalName="CorpSiteReportNumber">
      <xsd:simpleType>
        <xsd:restriction base="dms:Text">
          <xsd:maxLength value="255"/>
        </xsd:restriction>
      </xsd:simpleType>
    </xsd:element>
    <xsd:element name="CorpSiteISBN" ma:index="22" nillable="true" ma:displayName="ISBN" ma:internalName="CorpSiteISBN">
      <xsd:simpleType>
        <xsd:restriction base="dms:Text">
          <xsd:maxLength value="255"/>
        </xsd:restriction>
      </xsd:simpleType>
    </xsd:element>
    <xsd:element name="CorpSiteCoAuthors" ma:index="23" nillable="true" ma:displayName="Co Authors" ma:internalName="CorpSiteCoAuthors">
      <xsd:simpleType>
        <xsd:restriction base="dms:Text">
          <xsd:maxLength value="255"/>
        </xsd:restriction>
      </xsd:simpleType>
    </xsd:element>
    <xsd:element name="CorpSiteRecipientCompany" ma:index="24" nillable="true" ma:displayName="Recipient Company" ma:internalName="CorpSiteRecipientCompany">
      <xsd:simpleType>
        <xsd:restriction base="dms:Text">
          <xsd:maxLength value="255"/>
        </xsd:restriction>
      </xsd:simpleType>
    </xsd:element>
    <xsd:element name="CorpSiteRecipientPerson" ma:index="25" nillable="true" ma:displayName="Recipient Person" ma:internalName="CorpSiteRecipientPerson">
      <xsd:simpleType>
        <xsd:restriction base="dms:Text">
          <xsd:maxLength value="255"/>
        </xsd:restriction>
      </xsd:simpleType>
    </xsd:element>
    <xsd:element name="CorpSiteOurRef" ma:index="26" nillable="true" ma:displayName="Our Ref" ma:internalName="CorpSiteOurRef">
      <xsd:simpleType>
        <xsd:restriction base="dms:Text">
          <xsd:maxLength value="255"/>
        </xsd:restriction>
      </xsd:simpleType>
    </xsd:element>
    <xsd:element name="CorpSiteDocumentAuthor" ma:index="27" nillable="true" ma:displayName="Document Author" ma:internalName="CorpSiteDocument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rpSiteZipAddress" ma:index="28" nillable="true" ma:displayName="Address" ma:internalName="CorpSiteZipAddress">
      <xsd:simpleType>
        <xsd:restriction base="dms:Note">
          <xsd:maxLength value="255"/>
        </xsd:restriction>
      </xsd:simpleType>
    </xsd:element>
    <xsd:element name="CorpSiteZipContact" ma:index="29" nillable="true" ma:displayName="Contact" ma:internalName="CorpSiteZipContact">
      <xsd:simpleType>
        <xsd:restriction base="dms:Note">
          <xsd:maxLength value="255"/>
        </xsd:restriction>
      </xsd:simpleType>
    </xsd:element>
    <xsd:element name="CorpSiteVATNumber" ma:index="30" nillable="true" ma:displayName="VAT Number" ma:internalName="CorpSiteVATNumber">
      <xsd:simpleType>
        <xsd:restriction base="dms:Text">
          <xsd:maxLength value="255"/>
        </xsd:restriction>
      </xsd:simpleType>
    </xsd:element>
    <xsd:element name="CorpSiteInstituteEmail" ma:index="31" nillable="true" ma:displayName="Email Institute" ma:internalName="CorpSiteInstituteEmail">
      <xsd:simpleType>
        <xsd:restriction base="dms:Text">
          <xsd:maxLength value="255"/>
        </xsd:restriction>
      </xsd:simpleType>
    </xsd:element>
    <xsd:element name="CorpDocPageClassificationNbNo" ma:index="32" nillable="true" ma:displayName="Gradering Denne Siden" ma:default="Åpen" ma:internalName="CorpDocPageClassificationNbNo">
      <xsd:simpleType>
        <xsd:restriction base="dms:Choice">
          <xsd:enumeration value="Åpen"/>
          <xsd:enumeration value="Intern"/>
          <xsd:enumeration value="Fortrolig"/>
          <xsd:enumeration value="Strengt fortrolig"/>
          <xsd:maxLength value="255"/>
        </xsd:restriction>
      </xsd:simpleType>
    </xsd:element>
    <xsd:element name="CorpDocClassificationEnUs" ma:index="33" nillable="true" ma:displayName="Classification" ma:default="Unrestricted" ma:internalName="CorpDocClassificationEnUs">
      <xsd:simpleType>
        <xsd:restriction base="dms:Choice">
          <xsd:enumeration value="Unrestricted"/>
          <xsd:enumeration value="Internal"/>
          <xsd:enumeration value="Restricted"/>
          <xsd:enumeration value="Confidential"/>
          <xsd:maxLength value="255"/>
        </xsd:restriction>
      </xsd:simpleType>
    </xsd:element>
    <xsd:element name="CorpDocPageClassificationEnUs" ma:index="34" nillable="true" ma:displayName="Classification This Page" ma:default="Unrestricted" ma:internalName="CorpDocPageClassificationEnUs">
      <xsd:simpleType>
        <xsd:restriction base="dms:Choice">
          <xsd:enumeration value="Unrestricted"/>
          <xsd:enumeration value="Internal"/>
          <xsd:enumeration value="Restricted"/>
          <xsd:enumeration value="Confidential"/>
          <xsd:maxLength value="255"/>
        </xsd:restriction>
      </xsd:simpleType>
    </xsd:element>
    <xsd:element name="CorpDocClassificationNbNo" ma:index="35" nillable="true" ma:displayName="Gradering" ma:default="Åpen" ma:internalName="CorpDocClassificationNbNo">
      <xsd:simpleType>
        <xsd:restriction base="dms:Choice">
          <xsd:enumeration value="Åpen"/>
          <xsd:enumeration value="Intern"/>
          <xsd:enumeration value="Fortrolig"/>
          <xsd:enumeration value="Strengt fortrolig"/>
          <xsd:maxLength value="255"/>
        </xsd:restriction>
      </xsd:simpleType>
    </xsd:element>
    <xsd:element name="CorpSiteInstituteEnUs" ma:index="36" nillable="true" ma:displayName="InstituteEng" ma:internalName="CorpSiteInstituteEnUs">
      <xsd:simpleType>
        <xsd:restriction base="dms:Text">
          <xsd:maxLength value="255"/>
        </xsd:restriction>
      </xsd:simpleType>
    </xsd:element>
    <xsd:element name="CorpSiteInstitutePhone" ma:index="37" nillable="true" ma:displayName="Phone Instutute" ma:internalName="CorpSiteInstitutePhone">
      <xsd:simpleType>
        <xsd:restriction base="dms:Text">
          <xsd:maxLength value="255"/>
        </xsd:restriction>
      </xsd:simpleType>
    </xsd:element>
    <xsd:element name="CorpSiteDocLanguage" ma:index="38" nillable="true" ma:displayName="Language" ma:internalName="CorpSiteDocLanguage">
      <xsd:simpleType>
        <xsd:restriction base="dms:Text">
          <xsd:maxLength value="255"/>
        </xsd:restriction>
      </xsd:simpleType>
    </xsd:element>
    <xsd:element name="CorpDocInstitute" ma:index="39" nillable="true" ma:displayName="Institute" ma:internalName="CorpDocInstitute">
      <xsd:simpleType>
        <xsd:restriction base="dms:Text">
          <xsd:maxLength value="255"/>
        </xsd:restriction>
      </xsd:simpleType>
    </xsd:element>
    <xsd:element name="CorpDocVersion" ma:index="40" nillable="true" ma:displayName="Version" ma:internalName="CorpDocVers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15e479-e876-41bc-b903-eeafd5953364" elementFormDefault="qualified">
    <xsd:import namespace="http://schemas.microsoft.com/office/2006/documentManagement/types"/>
    <xsd:import namespace="http://schemas.microsoft.com/office/infopath/2007/PartnerControls"/>
    <xsd:element name="MediaServiceMetadata" ma:index="41" nillable="true" ma:displayName="MediaServiceMetadata" ma:hidden="true" ma:internalName="MediaServiceMetadata" ma:readOnly="true">
      <xsd:simpleType>
        <xsd:restriction base="dms:Note"/>
      </xsd:simpleType>
    </xsd:element>
    <xsd:element name="MediaServiceFastMetadata" ma:index="42" nillable="true" ma:displayName="MediaServiceFastMetadata" ma:hidden="true" ma:internalName="MediaServiceFastMetadata" ma:readOnly="true">
      <xsd:simpleType>
        <xsd:restriction base="dms:Note"/>
      </xsd:simpleType>
    </xsd:element>
    <xsd:element name="MediaServiceAutoKeyPoints" ma:index="43" nillable="true" ma:displayName="MediaServiceAutoKeyPoints" ma:hidden="true" ma:internalName="MediaServiceAutoKeyPoints" ma:readOnly="true">
      <xsd:simpleType>
        <xsd:restriction base="dms:Note"/>
      </xsd:simpleType>
    </xsd:element>
    <xsd:element name="MediaServiceKeyPoints" ma:index="44" nillable="true" ma:displayName="KeyPoints" ma:internalName="MediaServiceKeyPoints" ma:readOnly="true">
      <xsd:simpleType>
        <xsd:restriction base="dms:Note">
          <xsd:maxLength value="255"/>
        </xsd:restriction>
      </xsd:simpleType>
    </xsd:element>
    <xsd:element name="MediaServiceAutoTags" ma:index="45" nillable="true" ma:displayName="Tags" ma:internalName="MediaServiceAutoTags" ma:readOnly="true">
      <xsd:simpleType>
        <xsd:restriction base="dms:Text"/>
      </xsd:simpleType>
    </xsd:element>
    <xsd:element name="MediaServiceOCR" ma:index="46" nillable="true" ma:displayName="Extracted Text" ma:internalName="MediaServiceOCR" ma:readOnly="true">
      <xsd:simpleType>
        <xsd:restriction base="dms:Note">
          <xsd:maxLength value="255"/>
        </xsd:restriction>
      </xsd:simpleType>
    </xsd:element>
    <xsd:element name="MediaServiceGenerationTime" ma:index="47" nillable="true" ma:displayName="MediaServiceGenerationTime" ma:hidden="true" ma:internalName="MediaServiceGenerationTime" ma:readOnly="true">
      <xsd:simpleType>
        <xsd:restriction base="dms:Text"/>
      </xsd:simpleType>
    </xsd:element>
    <xsd:element name="MediaServiceEventHashCode" ma:index="48" nillable="true" ma:displayName="MediaServiceEventHashCode" ma:hidden="true" ma:internalName="MediaServiceEventHashCode" ma:readOnly="true">
      <xsd:simpleType>
        <xsd:restriction base="dms:Text"/>
      </xsd:simpleType>
    </xsd:element>
    <xsd:element name="lcf76f155ced4ddcb4097134ff3c332f" ma:index="50" nillable="true" ma:taxonomy="true" ma:internalName="lcf76f155ced4ddcb4097134ff3c332f" ma:taxonomyFieldName="MediaServiceImageTags" ma:displayName="Bildemerkelapper" ma:readOnly="false" ma:fieldId="{5cf76f15-5ced-4ddc-b409-7134ff3c332f}" ma:taxonomyMulti="true" ma:sspId="322a372c-f9c2-4fd8-9939-aea158435ba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32d9f9d-0018-4d2f-a0d1-8993ca23cbfb" elementFormDefault="qualified">
    <xsd:import namespace="http://schemas.microsoft.com/office/2006/documentManagement/types"/>
    <xsd:import namespace="http://schemas.microsoft.com/office/infopath/2007/PartnerControls"/>
    <xsd:element name="TaxCatchAll" ma:index="51" nillable="true" ma:displayName="Taxonomy Catch All Column" ma:hidden="true" ma:list="{e6636854-a5c3-4dc5-9126-be1e329b7456}" ma:internalName="TaxCatchAll" ma:showField="CatchAllData" ma:web="932d9f9d-0018-4d2f-a0d1-8993ca23cbf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3C1259-E53D-4681-8636-451E37BAF02C}">
  <ds:schemaRefs>
    <ds:schemaRef ds:uri="http://schemas.microsoft.com/office/2006/metadata/properties"/>
    <ds:schemaRef ds:uri="http://schemas.microsoft.com/office/infopath/2007/PartnerControls"/>
    <ds:schemaRef ds:uri="932d9f9d-0018-4d2f-a0d1-8993ca23cbfb"/>
    <ds:schemaRef ds:uri="8bbd4995-53b7-43e2-b62f-10947586ac31"/>
    <ds:schemaRef ds:uri="d515e479-e876-41bc-b903-eeafd5953364"/>
  </ds:schemaRefs>
</ds:datastoreItem>
</file>

<file path=customXml/itemProps2.xml><?xml version="1.0" encoding="utf-8"?>
<ds:datastoreItem xmlns:ds="http://schemas.openxmlformats.org/officeDocument/2006/customXml" ds:itemID="{DB961CD2-7EBD-4CD4-9F1E-A6D3A032D95D}">
  <ds:schemaRefs>
    <ds:schemaRef ds:uri="http://schemas.microsoft.com/sharepoint/v3/contenttype/forms"/>
  </ds:schemaRefs>
</ds:datastoreItem>
</file>

<file path=customXml/itemProps3.xml><?xml version="1.0" encoding="utf-8"?>
<ds:datastoreItem xmlns:ds="http://schemas.openxmlformats.org/officeDocument/2006/customXml" ds:itemID="{7FD585BD-0AD6-445D-A4F3-E39ECDE11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d4995-53b7-43e2-b62f-10947586ac31"/>
    <ds:schemaRef ds:uri="d515e479-e876-41bc-b903-eeafd5953364"/>
    <ds:schemaRef ds:uri="932d9f9d-0018-4d2f-a0d1-8993ca23c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34823</Words>
  <Characters>163671</Characters>
  <Application>Microsoft Office Word</Application>
  <DocSecurity>0</DocSecurity>
  <Lines>23381</Lines>
  <Paragraphs>22054</Paragraphs>
  <ScaleCrop>false</ScaleCrop>
  <Company/>
  <LinksUpToDate>false</LinksUpToDate>
  <CharactersWithSpaces>176440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Suong Tjønnås</dc:creator>
  <cp:keywords/>
  <dc:description/>
  <cp:lastModifiedBy>MCALORING</cp:lastModifiedBy>
  <cp:revision>2</cp:revision>
  <dcterms:created xsi:type="dcterms:W3CDTF">2022-06-13T18:43:00Z</dcterms:created>
  <dcterms:modified xsi:type="dcterms:W3CDTF">2022-11-10T23:38:00Z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0x01010031B82B69D2361148B4D8F7EC156802130800CE07702D32D87D439BF07C558887FFE3</vt:lpwstr>
  </property>
</Properties>
</file>