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260CB" w14:textId="7B39F241" w:rsidR="00DD5596" w:rsidRDefault="00B938FC">
      <w:pPr>
        <w:rPr>
          <w:sz w:val="22"/>
          <w:szCs w:val="22"/>
        </w:rPr>
      </w:pPr>
      <w:r w:rsidRPr="00DD5596">
        <w:rPr>
          <w:sz w:val="22"/>
          <w:szCs w:val="22"/>
        </w:rPr>
        <w:t xml:space="preserve">Supplementary </w:t>
      </w:r>
      <w:r w:rsidR="00DD5596" w:rsidRPr="00DD5596">
        <w:rPr>
          <w:sz w:val="22"/>
          <w:szCs w:val="22"/>
        </w:rPr>
        <w:t>T</w:t>
      </w:r>
      <w:r w:rsidRPr="00DD5596">
        <w:rPr>
          <w:sz w:val="22"/>
          <w:szCs w:val="22"/>
        </w:rPr>
        <w:t>able</w:t>
      </w:r>
      <w:r w:rsidR="00DD5596" w:rsidRPr="00DD5596">
        <w:rPr>
          <w:sz w:val="22"/>
          <w:szCs w:val="22"/>
        </w:rPr>
        <w:t xml:space="preserve"> 1</w:t>
      </w:r>
      <w:r w:rsidRPr="00DD5596">
        <w:rPr>
          <w:sz w:val="22"/>
          <w:szCs w:val="22"/>
        </w:rPr>
        <w:t xml:space="preserve">: Exclude </w:t>
      </w:r>
      <w:r w:rsidR="00DD5596" w:rsidRPr="00DD5596">
        <w:rPr>
          <w:sz w:val="22"/>
          <w:szCs w:val="22"/>
        </w:rPr>
        <w:t>Articles</w:t>
      </w:r>
    </w:p>
    <w:p w14:paraId="443B320A" w14:textId="77777777" w:rsidR="009E7842" w:rsidRPr="00DD5596" w:rsidRDefault="009E7842">
      <w:pPr>
        <w:rPr>
          <w:sz w:val="22"/>
          <w:szCs w:val="22"/>
        </w:rPr>
      </w:pPr>
    </w:p>
    <w:tbl>
      <w:tblPr>
        <w:tblStyle w:val="TableGrid"/>
        <w:tblW w:w="9085" w:type="dxa"/>
        <w:tblLook w:val="04A0" w:firstRow="1" w:lastRow="0" w:firstColumn="1" w:lastColumn="0" w:noHBand="0" w:noVBand="1"/>
      </w:tblPr>
      <w:tblGrid>
        <w:gridCol w:w="2155"/>
        <w:gridCol w:w="4500"/>
        <w:gridCol w:w="2430"/>
      </w:tblGrid>
      <w:tr w:rsidR="00982030" w:rsidRPr="00F82998" w14:paraId="5649A20B" w14:textId="77777777" w:rsidTr="004C04AF">
        <w:trPr>
          <w:trHeight w:val="340"/>
          <w:tblHeader/>
        </w:trPr>
        <w:tc>
          <w:tcPr>
            <w:tcW w:w="2155" w:type="dxa"/>
            <w:noWrap/>
            <w:hideMark/>
          </w:tcPr>
          <w:p w14:paraId="19E0F703" w14:textId="77777777" w:rsidR="00982030" w:rsidRPr="00F82998" w:rsidRDefault="00982030" w:rsidP="00BB6553">
            <w:pPr>
              <w:rPr>
                <w:rFonts w:ascii="Calibri" w:eastAsia="Times New Roman" w:hAnsi="Calibri" w:cs="Calibri"/>
                <w:b/>
                <w:bCs/>
                <w:color w:val="000000"/>
                <w:kern w:val="0"/>
                <w:sz w:val="16"/>
                <w:szCs w:val="16"/>
                <w:lang w:val="en-AU" w:eastAsia="en-GB"/>
                <w14:ligatures w14:val="none"/>
              </w:rPr>
            </w:pPr>
            <w:r w:rsidRPr="00F82998">
              <w:rPr>
                <w:rFonts w:ascii="Calibri" w:eastAsia="Times New Roman" w:hAnsi="Calibri" w:cs="Calibri"/>
                <w:b/>
                <w:bCs/>
                <w:color w:val="000000"/>
                <w:kern w:val="0"/>
                <w:sz w:val="16"/>
                <w:szCs w:val="16"/>
                <w:lang w:val="en-AU" w:eastAsia="en-GB"/>
                <w14:ligatures w14:val="none"/>
              </w:rPr>
              <w:t>Full reference</w:t>
            </w:r>
          </w:p>
        </w:tc>
        <w:tc>
          <w:tcPr>
            <w:tcW w:w="4500" w:type="dxa"/>
          </w:tcPr>
          <w:p w14:paraId="62E506C0" w14:textId="0AF3BE1F" w:rsidR="00982030" w:rsidRDefault="002641C5" w:rsidP="00BB6553">
            <w:pPr>
              <w:rPr>
                <w:rFonts w:ascii="Calibri" w:eastAsia="Times New Roman" w:hAnsi="Calibri" w:cs="Calibri"/>
                <w:b/>
                <w:bCs/>
                <w:color w:val="000000"/>
                <w:kern w:val="0"/>
                <w:sz w:val="16"/>
                <w:szCs w:val="16"/>
                <w:lang w:val="en-AU" w:eastAsia="en-GB"/>
                <w14:ligatures w14:val="none"/>
              </w:rPr>
            </w:pPr>
            <w:r>
              <w:rPr>
                <w:rFonts w:ascii="Calibri" w:eastAsia="Times New Roman" w:hAnsi="Calibri" w:cs="Calibri"/>
                <w:b/>
                <w:bCs/>
                <w:color w:val="000000"/>
                <w:kern w:val="0"/>
                <w:sz w:val="16"/>
                <w:szCs w:val="16"/>
                <w:lang w:val="en-AU" w:eastAsia="en-GB"/>
                <w14:ligatures w14:val="none"/>
              </w:rPr>
              <w:t>Article Title</w:t>
            </w:r>
          </w:p>
        </w:tc>
        <w:tc>
          <w:tcPr>
            <w:tcW w:w="2430" w:type="dxa"/>
            <w:hideMark/>
          </w:tcPr>
          <w:p w14:paraId="1647A9CC" w14:textId="11180E30" w:rsidR="00982030" w:rsidRPr="00F82998" w:rsidRDefault="00982030" w:rsidP="00BB6553">
            <w:pPr>
              <w:rPr>
                <w:rFonts w:ascii="Calibri" w:eastAsia="Times New Roman" w:hAnsi="Calibri" w:cs="Calibri"/>
                <w:b/>
                <w:bCs/>
                <w:color w:val="000000"/>
                <w:kern w:val="0"/>
                <w:sz w:val="16"/>
                <w:szCs w:val="16"/>
                <w:lang w:val="en-AU" w:eastAsia="en-GB"/>
                <w14:ligatures w14:val="none"/>
              </w:rPr>
            </w:pPr>
            <w:r>
              <w:rPr>
                <w:rFonts w:ascii="Calibri" w:eastAsia="Times New Roman" w:hAnsi="Calibri" w:cs="Calibri"/>
                <w:b/>
                <w:bCs/>
                <w:color w:val="000000"/>
                <w:kern w:val="0"/>
                <w:sz w:val="16"/>
                <w:szCs w:val="16"/>
                <w:lang w:val="en-AU" w:eastAsia="en-GB"/>
                <w14:ligatures w14:val="none"/>
              </w:rPr>
              <w:t>Reason for exclusion</w:t>
            </w:r>
          </w:p>
        </w:tc>
      </w:tr>
      <w:tr w:rsidR="00040104" w:rsidRPr="00F82998" w14:paraId="212F53D6" w14:textId="77777777" w:rsidTr="000840E2">
        <w:trPr>
          <w:trHeight w:val="680"/>
        </w:trPr>
        <w:tc>
          <w:tcPr>
            <w:tcW w:w="2155" w:type="dxa"/>
            <w:noWrap/>
            <w:hideMark/>
          </w:tcPr>
          <w:p w14:paraId="59DBD26A" w14:textId="5E6F4915"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A</w:t>
            </w:r>
            <w:r w:rsidRPr="00DD5596">
              <w:rPr>
                <w:rFonts w:ascii="Calibri" w:eastAsia="Times New Roman" w:hAnsi="Calibri" w:cs="Calibri"/>
                <w:color w:val="000000"/>
                <w:kern w:val="0"/>
                <w:sz w:val="16"/>
                <w:szCs w:val="16"/>
                <w:lang w:val="en-AU" w:eastAsia="en-GB"/>
                <w14:ligatures w14:val="none"/>
              </w:rPr>
              <w:t>ltabbaa</w:t>
            </w:r>
            <w:proofErr w:type="spellEnd"/>
            <w:r>
              <w:rPr>
                <w:rFonts w:ascii="Calibri" w:eastAsia="Times New Roman" w:hAnsi="Calibri" w:cs="Calibri"/>
                <w:color w:val="000000"/>
                <w:kern w:val="0"/>
                <w:sz w:val="16"/>
                <w:szCs w:val="16"/>
                <w:lang w:val="en-AU" w:eastAsia="en-GB"/>
                <w14:ligatures w14:val="none"/>
              </w:rPr>
              <w:t xml:space="preserve"> et al (</w:t>
            </w:r>
            <w:r w:rsidRPr="00DD5596">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DD5596">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w:t>
            </w:r>
          </w:p>
        </w:tc>
        <w:tc>
          <w:tcPr>
            <w:tcW w:w="4500" w:type="dxa"/>
          </w:tcPr>
          <w:p w14:paraId="61240E83"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DD5596">
              <w:rPr>
                <w:rFonts w:ascii="Calibri" w:eastAsia="Times New Roman" w:hAnsi="Calibri" w:cs="Calibri"/>
                <w:color w:val="000000"/>
                <w:kern w:val="0"/>
                <w:sz w:val="16"/>
                <w:szCs w:val="16"/>
                <w:lang w:val="en-AU" w:eastAsia="en-GB"/>
                <w14:ligatures w14:val="none"/>
              </w:rPr>
              <w:t>A simulation-based approach to training in heuristic clinical decision-making</w:t>
            </w:r>
          </w:p>
        </w:tc>
        <w:tc>
          <w:tcPr>
            <w:tcW w:w="2430" w:type="dxa"/>
            <w:hideMark/>
          </w:tcPr>
          <w:p w14:paraId="3F4DA7E8"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0D92C7C7" w14:textId="77777777" w:rsidTr="000840E2">
        <w:trPr>
          <w:trHeight w:val="680"/>
        </w:trPr>
        <w:tc>
          <w:tcPr>
            <w:tcW w:w="2155" w:type="dxa"/>
            <w:noWrap/>
            <w:hideMark/>
          </w:tcPr>
          <w:p w14:paraId="2FB00971" w14:textId="4D0CA9EA"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Callender</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w:t>
            </w:r>
          </w:p>
        </w:tc>
        <w:tc>
          <w:tcPr>
            <w:tcW w:w="4500" w:type="dxa"/>
          </w:tcPr>
          <w:p w14:paraId="0F66FF95"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Improving metacognition in the classroom through instruction, training, and feedback</w:t>
            </w:r>
          </w:p>
        </w:tc>
        <w:tc>
          <w:tcPr>
            <w:tcW w:w="2430" w:type="dxa"/>
            <w:hideMark/>
          </w:tcPr>
          <w:p w14:paraId="7D67AE33"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01BDE66B" w14:textId="77777777" w:rsidTr="000840E2">
        <w:trPr>
          <w:trHeight w:val="680"/>
        </w:trPr>
        <w:tc>
          <w:tcPr>
            <w:tcW w:w="2155" w:type="dxa"/>
            <w:noWrap/>
            <w:hideMark/>
          </w:tcPr>
          <w:p w14:paraId="5306CA79" w14:textId="09641C13"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Godsil</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2014</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w:t>
            </w:r>
          </w:p>
        </w:tc>
        <w:tc>
          <w:tcPr>
            <w:tcW w:w="4500" w:type="dxa"/>
          </w:tcPr>
          <w:p w14:paraId="4692721A"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Addressing implicit bias, racial anxiety, and stereotype threat in education and health care</w:t>
            </w:r>
          </w:p>
        </w:tc>
        <w:tc>
          <w:tcPr>
            <w:tcW w:w="2430" w:type="dxa"/>
            <w:hideMark/>
          </w:tcPr>
          <w:p w14:paraId="7B3029BB"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15BCB332" w14:textId="77777777" w:rsidTr="00925B70">
        <w:trPr>
          <w:trHeight w:val="557"/>
        </w:trPr>
        <w:tc>
          <w:tcPr>
            <w:tcW w:w="2155" w:type="dxa"/>
            <w:noWrap/>
            <w:hideMark/>
          </w:tcPr>
          <w:p w14:paraId="6D3D5788" w14:textId="6AD7D285"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Gonzalez</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w:t>
            </w:r>
          </w:p>
        </w:tc>
        <w:tc>
          <w:tcPr>
            <w:tcW w:w="4500" w:type="dxa"/>
          </w:tcPr>
          <w:p w14:paraId="6553F33E"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How to make or break implicit bias instruction: implications for curriculum development</w:t>
            </w:r>
          </w:p>
        </w:tc>
        <w:tc>
          <w:tcPr>
            <w:tcW w:w="2430" w:type="dxa"/>
            <w:hideMark/>
          </w:tcPr>
          <w:p w14:paraId="60A78596"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5D38365C" w14:textId="77777777" w:rsidTr="00925B70">
        <w:trPr>
          <w:trHeight w:val="602"/>
        </w:trPr>
        <w:tc>
          <w:tcPr>
            <w:tcW w:w="2155" w:type="dxa"/>
            <w:noWrap/>
            <w:hideMark/>
          </w:tcPr>
          <w:p w14:paraId="033347A1" w14:textId="3EFD8E1A"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Hall</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[5]</w:t>
            </w:r>
          </w:p>
        </w:tc>
        <w:tc>
          <w:tcPr>
            <w:tcW w:w="4500" w:type="dxa"/>
          </w:tcPr>
          <w:p w14:paraId="614FA362"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racial/ethnic bias among health care professionals and its influence on health care outcomes: a systematic review</w:t>
            </w:r>
          </w:p>
        </w:tc>
        <w:tc>
          <w:tcPr>
            <w:tcW w:w="2430" w:type="dxa"/>
            <w:hideMark/>
          </w:tcPr>
          <w:p w14:paraId="473BD3C6"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18BFCDC4" w14:textId="77777777" w:rsidTr="00925B70">
        <w:trPr>
          <w:trHeight w:val="566"/>
        </w:trPr>
        <w:tc>
          <w:tcPr>
            <w:tcW w:w="2155" w:type="dxa"/>
            <w:noWrap/>
            <w:hideMark/>
          </w:tcPr>
          <w:p w14:paraId="508A42AF" w14:textId="07828B66"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Harrison-Bernard</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[6]</w:t>
            </w:r>
          </w:p>
        </w:tc>
        <w:tc>
          <w:tcPr>
            <w:tcW w:w="4500" w:type="dxa"/>
          </w:tcPr>
          <w:p w14:paraId="632D168D"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Knowledge gains in a professional development workshop on diversity, equity, inclusion, and implicit bias in academia</w:t>
            </w:r>
          </w:p>
        </w:tc>
        <w:tc>
          <w:tcPr>
            <w:tcW w:w="2430" w:type="dxa"/>
            <w:hideMark/>
          </w:tcPr>
          <w:p w14:paraId="53C71D67"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0E150A72" w14:textId="77777777" w:rsidTr="000840E2">
        <w:trPr>
          <w:trHeight w:val="680"/>
        </w:trPr>
        <w:tc>
          <w:tcPr>
            <w:tcW w:w="2155" w:type="dxa"/>
            <w:noWrap/>
            <w:hideMark/>
          </w:tcPr>
          <w:p w14:paraId="11458769" w14:textId="28361A31"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Hunzeker</w:t>
            </w:r>
            <w:proofErr w:type="spellEnd"/>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Amin</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[7]</w:t>
            </w:r>
          </w:p>
        </w:tc>
        <w:tc>
          <w:tcPr>
            <w:tcW w:w="4500" w:type="dxa"/>
          </w:tcPr>
          <w:p w14:paraId="33688B41"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Cognitive Bias in a Hurry: Single-Session Workshop Approach for Psychiatry Residents and Students</w:t>
            </w:r>
          </w:p>
        </w:tc>
        <w:tc>
          <w:tcPr>
            <w:tcW w:w="2430" w:type="dxa"/>
            <w:hideMark/>
          </w:tcPr>
          <w:p w14:paraId="4CB31AB9"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3941D410" w14:textId="77777777" w:rsidTr="000840E2">
        <w:trPr>
          <w:trHeight w:val="680"/>
        </w:trPr>
        <w:tc>
          <w:tcPr>
            <w:tcW w:w="2155" w:type="dxa"/>
            <w:noWrap/>
            <w:hideMark/>
          </w:tcPr>
          <w:p w14:paraId="583E65B8" w14:textId="5956C8CB"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McDowell</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[8]</w:t>
            </w:r>
          </w:p>
        </w:tc>
        <w:tc>
          <w:tcPr>
            <w:tcW w:w="4500" w:type="dxa"/>
          </w:tcPr>
          <w:p w14:paraId="6CD1276C"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Strategies to mitigate clinician implicit bias against sexual and gender minority patients</w:t>
            </w:r>
          </w:p>
        </w:tc>
        <w:tc>
          <w:tcPr>
            <w:tcW w:w="2430" w:type="dxa"/>
            <w:hideMark/>
          </w:tcPr>
          <w:p w14:paraId="2EE2436F"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14D1B26B" w14:textId="77777777" w:rsidTr="00925B70">
        <w:trPr>
          <w:trHeight w:val="566"/>
        </w:trPr>
        <w:tc>
          <w:tcPr>
            <w:tcW w:w="2155" w:type="dxa"/>
            <w:noWrap/>
            <w:hideMark/>
          </w:tcPr>
          <w:p w14:paraId="2D714261"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O'Sullivan</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Schofield</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c>
          <w:tcPr>
            <w:tcW w:w="4500" w:type="dxa"/>
          </w:tcPr>
          <w:p w14:paraId="6D0C5189"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cognitive forcing tool to mitigate cognitive bias - a randomised control trial</w:t>
            </w:r>
          </w:p>
        </w:tc>
        <w:tc>
          <w:tcPr>
            <w:tcW w:w="2430" w:type="dxa"/>
            <w:hideMark/>
          </w:tcPr>
          <w:p w14:paraId="0CA0EDDB"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1E90C76A" w14:textId="77777777" w:rsidTr="00925B70">
        <w:trPr>
          <w:trHeight w:val="701"/>
        </w:trPr>
        <w:tc>
          <w:tcPr>
            <w:tcW w:w="2155" w:type="dxa"/>
            <w:noWrap/>
            <w:hideMark/>
          </w:tcPr>
          <w:p w14:paraId="4BB66DC4" w14:textId="573D2A22"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Perdomo</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[9]</w:t>
            </w:r>
          </w:p>
        </w:tc>
        <w:tc>
          <w:tcPr>
            <w:tcW w:w="4500" w:type="dxa"/>
          </w:tcPr>
          <w:p w14:paraId="309DC934"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Health equity rounds: an interdisciplinary case conference to address implicit bias and structural racism for faculty and trainees</w:t>
            </w:r>
          </w:p>
        </w:tc>
        <w:tc>
          <w:tcPr>
            <w:tcW w:w="2430" w:type="dxa"/>
            <w:hideMark/>
          </w:tcPr>
          <w:p w14:paraId="303C90EE"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4E0BE918" w14:textId="77777777" w:rsidTr="000840E2">
        <w:trPr>
          <w:trHeight w:val="680"/>
        </w:trPr>
        <w:tc>
          <w:tcPr>
            <w:tcW w:w="2155" w:type="dxa"/>
            <w:noWrap/>
            <w:hideMark/>
          </w:tcPr>
          <w:p w14:paraId="333EF5E4" w14:textId="7D34DE2B"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Prakash</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2017</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[10]</w:t>
            </w:r>
          </w:p>
        </w:tc>
        <w:tc>
          <w:tcPr>
            <w:tcW w:w="4500" w:type="dxa"/>
          </w:tcPr>
          <w:p w14:paraId="116BF124"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Immersive </w:t>
            </w:r>
            <w:proofErr w:type="gramStart"/>
            <w:r w:rsidRPr="00F82998">
              <w:rPr>
                <w:rFonts w:ascii="Calibri" w:eastAsia="Times New Roman" w:hAnsi="Calibri" w:cs="Calibri"/>
                <w:color w:val="000000"/>
                <w:kern w:val="0"/>
                <w:sz w:val="16"/>
                <w:szCs w:val="16"/>
                <w:lang w:val="en-AU" w:eastAsia="en-GB"/>
                <w14:ligatures w14:val="none"/>
              </w:rPr>
              <w:t>high fidelity</w:t>
            </w:r>
            <w:proofErr w:type="gramEnd"/>
            <w:r w:rsidRPr="00F82998">
              <w:rPr>
                <w:rFonts w:ascii="Calibri" w:eastAsia="Times New Roman" w:hAnsi="Calibri" w:cs="Calibri"/>
                <w:color w:val="000000"/>
                <w:kern w:val="0"/>
                <w:sz w:val="16"/>
                <w:szCs w:val="16"/>
                <w:lang w:val="en-AU" w:eastAsia="en-GB"/>
                <w14:ligatures w14:val="none"/>
              </w:rPr>
              <w:t xml:space="preserve"> simulation of critically ill patients to study cognitive errors: a pilot study</w:t>
            </w:r>
          </w:p>
        </w:tc>
        <w:tc>
          <w:tcPr>
            <w:tcW w:w="2430" w:type="dxa"/>
            <w:hideMark/>
          </w:tcPr>
          <w:p w14:paraId="750EA63A"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20E82BD4" w14:textId="77777777" w:rsidTr="000840E2">
        <w:trPr>
          <w:trHeight w:val="680"/>
        </w:trPr>
        <w:tc>
          <w:tcPr>
            <w:tcW w:w="2155" w:type="dxa"/>
            <w:noWrap/>
            <w:hideMark/>
          </w:tcPr>
          <w:p w14:paraId="39FA1875" w14:textId="407C649F"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Reilly</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2013</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[11]</w:t>
            </w:r>
          </w:p>
        </w:tc>
        <w:tc>
          <w:tcPr>
            <w:tcW w:w="4500" w:type="dxa"/>
          </w:tcPr>
          <w:p w14:paraId="4A891912"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about how doctors think: a longitudinal curriculum in cognitive bias and diagnostic error for residents</w:t>
            </w:r>
          </w:p>
        </w:tc>
        <w:tc>
          <w:tcPr>
            <w:tcW w:w="2430" w:type="dxa"/>
            <w:hideMark/>
          </w:tcPr>
          <w:p w14:paraId="089395D8"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7BF55836" w14:textId="77777777" w:rsidTr="000840E2">
        <w:trPr>
          <w:trHeight w:val="494"/>
        </w:trPr>
        <w:tc>
          <w:tcPr>
            <w:tcW w:w="2155" w:type="dxa"/>
            <w:noWrap/>
            <w:hideMark/>
          </w:tcPr>
          <w:p w14:paraId="05E62BE0" w14:textId="7BBA6D17"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Rynders</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[12]</w:t>
            </w:r>
          </w:p>
        </w:tc>
        <w:tc>
          <w:tcPr>
            <w:tcW w:w="4500" w:type="dxa"/>
          </w:tcPr>
          <w:p w14:paraId="6A2DEB44"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Battling implicit bias in the IDEA to advocate for African American students with disabilities</w:t>
            </w:r>
          </w:p>
        </w:tc>
        <w:tc>
          <w:tcPr>
            <w:tcW w:w="2430" w:type="dxa"/>
            <w:hideMark/>
          </w:tcPr>
          <w:p w14:paraId="7EA7870F"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72FE21B7" w14:textId="77777777" w:rsidTr="000840E2">
        <w:trPr>
          <w:trHeight w:val="680"/>
        </w:trPr>
        <w:tc>
          <w:tcPr>
            <w:tcW w:w="2155" w:type="dxa"/>
            <w:noWrap/>
            <w:hideMark/>
          </w:tcPr>
          <w:p w14:paraId="0E4602EF" w14:textId="7A1A1320"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Stroumsa</w:t>
            </w:r>
            <w:proofErr w:type="spellEnd"/>
            <w:r>
              <w:rPr>
                <w:rFonts w:ascii="Calibri" w:eastAsia="Times New Roman" w:hAnsi="Calibri" w:cs="Calibri"/>
                <w:color w:val="000000"/>
                <w:kern w:val="0"/>
                <w:sz w:val="16"/>
                <w:szCs w:val="16"/>
                <w:lang w:val="en-AU" w:eastAsia="en-GB"/>
                <w14:ligatures w14:val="none"/>
              </w:rPr>
              <w:t xml:space="preserve"> et al. (2</w:t>
            </w:r>
            <w:r w:rsidRPr="00F82998">
              <w:rPr>
                <w:rFonts w:ascii="Calibri" w:eastAsia="Times New Roman" w:hAnsi="Calibri" w:cs="Calibri"/>
                <w:color w:val="000000"/>
                <w:kern w:val="0"/>
                <w:sz w:val="16"/>
                <w:szCs w:val="16"/>
                <w:lang w:val="en-AU" w:eastAsia="en-GB"/>
                <w14:ligatures w14:val="none"/>
              </w:rPr>
              <w:t>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[13]</w:t>
            </w:r>
          </w:p>
        </w:tc>
        <w:tc>
          <w:tcPr>
            <w:tcW w:w="4500" w:type="dxa"/>
          </w:tcPr>
          <w:p w14:paraId="2EEB5348"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Transphobia rather than education predicts provider knowledge of transgender health care</w:t>
            </w:r>
          </w:p>
        </w:tc>
        <w:tc>
          <w:tcPr>
            <w:tcW w:w="2430" w:type="dxa"/>
            <w:hideMark/>
          </w:tcPr>
          <w:p w14:paraId="14E6BD70"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3C1DD92A" w14:textId="77777777" w:rsidTr="000840E2">
        <w:trPr>
          <w:trHeight w:val="680"/>
        </w:trPr>
        <w:tc>
          <w:tcPr>
            <w:tcW w:w="2155" w:type="dxa"/>
            <w:noWrap/>
            <w:hideMark/>
          </w:tcPr>
          <w:p w14:paraId="1A6053E2" w14:textId="6117173F"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[14]</w:t>
            </w:r>
          </w:p>
        </w:tc>
        <w:tc>
          <w:tcPr>
            <w:tcW w:w="4500" w:type="dxa"/>
          </w:tcPr>
          <w:p w14:paraId="7C7EB5E0"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The actual versus idealized self: Exploring responses to feedback about implicit bias in health professionals</w:t>
            </w:r>
          </w:p>
        </w:tc>
        <w:tc>
          <w:tcPr>
            <w:tcW w:w="2430" w:type="dxa"/>
            <w:hideMark/>
          </w:tcPr>
          <w:p w14:paraId="24145C18"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5D65F7E0" w14:textId="77777777" w:rsidTr="000840E2">
        <w:trPr>
          <w:trHeight w:val="680"/>
        </w:trPr>
        <w:tc>
          <w:tcPr>
            <w:tcW w:w="2155" w:type="dxa"/>
            <w:noWrap/>
            <w:hideMark/>
          </w:tcPr>
          <w:p w14:paraId="6020EEEE" w14:textId="3231388B"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[15]</w:t>
            </w:r>
          </w:p>
        </w:tc>
        <w:tc>
          <w:tcPr>
            <w:tcW w:w="4500" w:type="dxa"/>
          </w:tcPr>
          <w:p w14:paraId="6A7B1605"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Adaptive reinventing: implicit bias and the co-construction of social change</w:t>
            </w:r>
          </w:p>
        </w:tc>
        <w:tc>
          <w:tcPr>
            <w:tcW w:w="2430" w:type="dxa"/>
            <w:hideMark/>
          </w:tcPr>
          <w:p w14:paraId="0F08BDCC"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Exclusion reason: Incorrect target population of interest </w:t>
            </w:r>
          </w:p>
        </w:tc>
      </w:tr>
      <w:tr w:rsidR="00040104" w:rsidRPr="00F82998" w14:paraId="4732C2EA" w14:textId="77777777" w:rsidTr="000840E2">
        <w:trPr>
          <w:trHeight w:val="680"/>
        </w:trPr>
        <w:tc>
          <w:tcPr>
            <w:tcW w:w="2155" w:type="dxa"/>
            <w:noWrap/>
            <w:hideMark/>
          </w:tcPr>
          <w:p w14:paraId="2BE33221" w14:textId="7CC24770"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[16]</w:t>
            </w:r>
          </w:p>
        </w:tc>
        <w:tc>
          <w:tcPr>
            <w:tcW w:w="4500" w:type="dxa"/>
          </w:tcPr>
          <w:p w14:paraId="4606E917"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Striving while accepting: Exploring the relationship between identity and implicit bias recognition and management</w:t>
            </w:r>
          </w:p>
        </w:tc>
        <w:tc>
          <w:tcPr>
            <w:tcW w:w="2430" w:type="dxa"/>
            <w:hideMark/>
          </w:tcPr>
          <w:p w14:paraId="1228EDAD"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w:t>
            </w:r>
            <w:r>
              <w:rPr>
                <w:rFonts w:ascii="Calibri" w:eastAsia="Times New Roman" w:hAnsi="Calibri" w:cs="Calibri"/>
                <w:color w:val="000000"/>
                <w:kern w:val="0"/>
                <w:sz w:val="16"/>
                <w:szCs w:val="16"/>
                <w:lang w:val="en-AU" w:eastAsia="en-GB"/>
                <w14:ligatures w14:val="none"/>
              </w:rPr>
              <w:t>t</w:t>
            </w:r>
          </w:p>
        </w:tc>
      </w:tr>
      <w:tr w:rsidR="00040104" w:rsidRPr="00F82998" w14:paraId="1599BB28" w14:textId="77777777" w:rsidTr="000840E2">
        <w:trPr>
          <w:trHeight w:val="680"/>
        </w:trPr>
        <w:tc>
          <w:tcPr>
            <w:tcW w:w="2155" w:type="dxa"/>
            <w:noWrap/>
            <w:hideMark/>
          </w:tcPr>
          <w:p w14:paraId="016C6646" w14:textId="3B329455"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[17]</w:t>
            </w:r>
          </w:p>
        </w:tc>
        <w:tc>
          <w:tcPr>
            <w:tcW w:w="4500" w:type="dxa"/>
          </w:tcPr>
          <w:p w14:paraId="369C480C"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bias and the feedback paradox: exploring how health professionals engage with feedback while questioning its credibility</w:t>
            </w:r>
          </w:p>
        </w:tc>
        <w:tc>
          <w:tcPr>
            <w:tcW w:w="2430" w:type="dxa"/>
            <w:hideMark/>
          </w:tcPr>
          <w:p w14:paraId="2484CC2E"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20BDF734" w14:textId="77777777" w:rsidTr="000840E2">
        <w:trPr>
          <w:trHeight w:val="680"/>
        </w:trPr>
        <w:tc>
          <w:tcPr>
            <w:tcW w:w="2155" w:type="dxa"/>
            <w:noWrap/>
            <w:hideMark/>
          </w:tcPr>
          <w:p w14:paraId="45ADBB15" w14:textId="7EE5A8AD" w:rsidR="00040104" w:rsidRPr="00F82998" w:rsidRDefault="00040104" w:rsidP="000840E2">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[18]</w:t>
            </w:r>
          </w:p>
        </w:tc>
        <w:tc>
          <w:tcPr>
            <w:tcW w:w="4500" w:type="dxa"/>
          </w:tcPr>
          <w:p w14:paraId="34EEEE65"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The Implicit Association Test in health professions education: A meta-narrative review</w:t>
            </w:r>
          </w:p>
        </w:tc>
        <w:tc>
          <w:tcPr>
            <w:tcW w:w="2430" w:type="dxa"/>
            <w:hideMark/>
          </w:tcPr>
          <w:p w14:paraId="4D3C6365"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022D11D0" w14:textId="77777777" w:rsidTr="000840E2">
        <w:trPr>
          <w:trHeight w:val="680"/>
        </w:trPr>
        <w:tc>
          <w:tcPr>
            <w:tcW w:w="2155" w:type="dxa"/>
            <w:noWrap/>
            <w:hideMark/>
          </w:tcPr>
          <w:p w14:paraId="32C153BE" w14:textId="43D146E4"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lastRenderedPageBreak/>
              <w:t>Westerberg</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[19]</w:t>
            </w:r>
          </w:p>
        </w:tc>
        <w:tc>
          <w:tcPr>
            <w:tcW w:w="4500" w:type="dxa"/>
          </w:tcPr>
          <w:p w14:paraId="3DB66F4C"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Understanding and dealing with implicit bias and discipline in early care and education</w:t>
            </w:r>
          </w:p>
        </w:tc>
        <w:tc>
          <w:tcPr>
            <w:tcW w:w="2430" w:type="dxa"/>
            <w:hideMark/>
          </w:tcPr>
          <w:p w14:paraId="1AD89732" w14:textId="77777777" w:rsidR="00040104" w:rsidRPr="00F82998" w:rsidRDefault="00040104" w:rsidP="000840E2">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target population of interest</w:t>
            </w:r>
          </w:p>
        </w:tc>
      </w:tr>
      <w:tr w:rsidR="00040104" w:rsidRPr="00F82998" w14:paraId="3F6F245A" w14:textId="77777777" w:rsidTr="004C04AF">
        <w:trPr>
          <w:trHeight w:val="710"/>
        </w:trPr>
        <w:tc>
          <w:tcPr>
            <w:tcW w:w="2155" w:type="dxa"/>
            <w:noWrap/>
            <w:hideMark/>
          </w:tcPr>
          <w:p w14:paraId="4571775F" w14:textId="71DEB4BD"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Almashat</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2008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[20]</w:t>
            </w:r>
          </w:p>
        </w:tc>
        <w:tc>
          <w:tcPr>
            <w:tcW w:w="4500" w:type="dxa"/>
          </w:tcPr>
          <w:p w14:paraId="2CFD52DA"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Framing effect debiasing in medical decision making</w:t>
            </w:r>
          </w:p>
        </w:tc>
        <w:tc>
          <w:tcPr>
            <w:tcW w:w="2430" w:type="dxa"/>
            <w:hideMark/>
          </w:tcPr>
          <w:p w14:paraId="0D6038C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7C0A1D1F" w14:textId="77777777" w:rsidTr="004C04AF">
        <w:trPr>
          <w:trHeight w:val="680"/>
        </w:trPr>
        <w:tc>
          <w:tcPr>
            <w:tcW w:w="2155" w:type="dxa"/>
            <w:noWrap/>
            <w:hideMark/>
          </w:tcPr>
          <w:p w14:paraId="25D2666A" w14:textId="38AC1E96" w:rsidR="00040104" w:rsidRPr="004C04AF" w:rsidRDefault="00040104" w:rsidP="00BB6553">
            <w:pPr>
              <w:rPr>
                <w:rFonts w:ascii="Calibri" w:eastAsia="Times New Roman" w:hAnsi="Calibri" w:cs="Calibri"/>
                <w:color w:val="000000"/>
                <w:kern w:val="0"/>
                <w:sz w:val="16"/>
                <w:szCs w:val="16"/>
                <w:lang w:val="en-AU" w:eastAsia="en-GB"/>
                <w14:ligatures w14:val="none"/>
              </w:rPr>
            </w:pPr>
            <w:r w:rsidRPr="004C04AF">
              <w:rPr>
                <w:rFonts w:ascii="Calibri" w:eastAsia="Times New Roman" w:hAnsi="Calibri" w:cs="Calibri"/>
                <w:color w:val="000000"/>
                <w:kern w:val="0"/>
                <w:sz w:val="16"/>
                <w:szCs w:val="16"/>
                <w:lang w:val="en-AU" w:eastAsia="en-GB"/>
                <w14:ligatures w14:val="none"/>
              </w:rPr>
              <w:t xml:space="preserve">Avant, et al. (2018) </w:t>
            </w:r>
            <w:r w:rsidR="005C1FCA">
              <w:rPr>
                <w:rFonts w:ascii="Calibri" w:eastAsia="Times New Roman" w:hAnsi="Calibri" w:cs="Calibri"/>
                <w:noProof/>
                <w:color w:val="000000"/>
                <w:kern w:val="0"/>
                <w:sz w:val="16"/>
                <w:szCs w:val="16"/>
                <w:lang w:val="en-AU" w:eastAsia="en-GB"/>
                <w14:ligatures w14:val="none"/>
              </w:rPr>
              <w:t>[21]</w:t>
            </w:r>
          </w:p>
        </w:tc>
        <w:tc>
          <w:tcPr>
            <w:tcW w:w="4500" w:type="dxa"/>
          </w:tcPr>
          <w:p w14:paraId="13AFC28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Qualitative analysis of student pharmacists</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reflections of Harvard</w:t>
            </w:r>
            <w:r>
              <w:rPr>
                <w:rFonts w:ascii="Calibri" w:eastAsia="Times New Roman" w:hAnsi="Calibri" w:cs="Calibri"/>
                <w:color w:val="000000"/>
                <w:kern w:val="0"/>
                <w:sz w:val="16"/>
                <w:szCs w:val="16"/>
                <w:lang w:val="en-AU" w:eastAsia="en-GB"/>
                <w14:ligatures w14:val="none"/>
              </w:rPr>
              <w:t>’s ra</w:t>
            </w:r>
            <w:r w:rsidRPr="00F82998">
              <w:rPr>
                <w:rFonts w:ascii="Calibri" w:eastAsia="Times New Roman" w:hAnsi="Calibri" w:cs="Calibri"/>
                <w:color w:val="000000"/>
                <w:kern w:val="0"/>
                <w:sz w:val="16"/>
                <w:szCs w:val="16"/>
                <w:lang w:val="en-AU" w:eastAsia="en-GB"/>
                <w14:ligatures w14:val="none"/>
              </w:rPr>
              <w:t>ce implicit association test</w:t>
            </w:r>
            <w:r>
              <w:rPr>
                <w:rFonts w:ascii="Calibri" w:eastAsia="Times New Roman" w:hAnsi="Calibri" w:cs="Calibri"/>
                <w:color w:val="000000"/>
                <w:kern w:val="0"/>
                <w:sz w:val="16"/>
                <w:szCs w:val="16"/>
                <w:lang w:val="en-AU" w:eastAsia="en-GB"/>
                <w14:ligatures w14:val="none"/>
              </w:rPr>
              <w:t>.</w:t>
            </w:r>
          </w:p>
        </w:tc>
        <w:tc>
          <w:tcPr>
            <w:tcW w:w="2430" w:type="dxa"/>
            <w:hideMark/>
          </w:tcPr>
          <w:p w14:paraId="58C7977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78350ADF" w14:textId="77777777" w:rsidTr="004C04AF">
        <w:trPr>
          <w:trHeight w:val="680"/>
        </w:trPr>
        <w:tc>
          <w:tcPr>
            <w:tcW w:w="2155" w:type="dxa"/>
            <w:noWrap/>
            <w:hideMark/>
          </w:tcPr>
          <w:p w14:paraId="2B0C2241" w14:textId="283AC5DB"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Braun</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[22]</w:t>
            </w:r>
          </w:p>
        </w:tc>
        <w:tc>
          <w:tcPr>
            <w:tcW w:w="4500" w:type="dxa"/>
          </w:tcPr>
          <w:p w14:paraId="0B8AD1F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Scaffolding clinical reasoning of medical students with virtual patients: effects on diagnostic accuracy, efficiency, and errors</w:t>
            </w:r>
          </w:p>
        </w:tc>
        <w:tc>
          <w:tcPr>
            <w:tcW w:w="2430" w:type="dxa"/>
            <w:hideMark/>
          </w:tcPr>
          <w:p w14:paraId="67A67721"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55211438" w14:textId="77777777" w:rsidTr="004C04AF">
        <w:trPr>
          <w:trHeight w:val="764"/>
        </w:trPr>
        <w:tc>
          <w:tcPr>
            <w:tcW w:w="2155" w:type="dxa"/>
            <w:noWrap/>
            <w:hideMark/>
          </w:tcPr>
          <w:p w14:paraId="25EEFDB5" w14:textId="5DD7A309"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Burt</w:t>
            </w:r>
            <w:r>
              <w:rPr>
                <w:rFonts w:ascii="Calibri" w:eastAsia="Times New Roman" w:hAnsi="Calibri" w:cs="Calibri"/>
                <w:color w:val="000000"/>
                <w:kern w:val="0"/>
                <w:sz w:val="16"/>
                <w:szCs w:val="16"/>
                <w:lang w:val="en-AU" w:eastAsia="en-GB"/>
                <w14:ligatures w14:val="none"/>
              </w:rPr>
              <w:t xml:space="preserve"> &amp; C</w:t>
            </w:r>
            <w:r w:rsidRPr="00F82998">
              <w:rPr>
                <w:rFonts w:ascii="Calibri" w:eastAsia="Times New Roman" w:hAnsi="Calibri" w:cs="Calibri"/>
                <w:color w:val="000000"/>
                <w:kern w:val="0"/>
                <w:sz w:val="16"/>
                <w:szCs w:val="16"/>
                <w:lang w:val="en-AU" w:eastAsia="en-GB"/>
                <w14:ligatures w14:val="none"/>
              </w:rPr>
              <w:t>orbridge</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[23]</w:t>
            </w:r>
          </w:p>
        </w:tc>
        <w:tc>
          <w:tcPr>
            <w:tcW w:w="4500" w:type="dxa"/>
          </w:tcPr>
          <w:p w14:paraId="5C87C36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Diagnostic Reasoning: A Review of Evidence-Based Interventions</w:t>
            </w:r>
          </w:p>
        </w:tc>
        <w:tc>
          <w:tcPr>
            <w:tcW w:w="2430" w:type="dxa"/>
            <w:hideMark/>
          </w:tcPr>
          <w:p w14:paraId="5F60E8B0" w14:textId="77777777" w:rsidR="00040104"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Send to 3rd person for consideration. </w:t>
            </w:r>
          </w:p>
          <w:p w14:paraId="23CB9BB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0A8F6B9C" w14:textId="77777777" w:rsidTr="004C04AF">
        <w:trPr>
          <w:trHeight w:val="680"/>
        </w:trPr>
        <w:tc>
          <w:tcPr>
            <w:tcW w:w="2155" w:type="dxa"/>
            <w:noWrap/>
            <w:hideMark/>
          </w:tcPr>
          <w:p w14:paraId="71117B49" w14:textId="0E486E1C" w:rsidR="00040104" w:rsidRPr="004C04AF" w:rsidRDefault="00040104" w:rsidP="00BB6553">
            <w:pPr>
              <w:rPr>
                <w:rFonts w:ascii="Calibri" w:eastAsia="Times New Roman" w:hAnsi="Calibri" w:cs="Calibri"/>
                <w:color w:val="000000"/>
                <w:kern w:val="0"/>
                <w:sz w:val="16"/>
                <w:szCs w:val="16"/>
                <w:lang w:val="en-AU" w:eastAsia="en-GB"/>
                <w14:ligatures w14:val="none"/>
              </w:rPr>
            </w:pPr>
            <w:r w:rsidRPr="004C04AF">
              <w:rPr>
                <w:rFonts w:ascii="Calibri" w:eastAsia="Times New Roman" w:hAnsi="Calibri" w:cs="Calibri"/>
                <w:color w:val="000000"/>
                <w:kern w:val="0"/>
                <w:sz w:val="16"/>
                <w:szCs w:val="16"/>
                <w:lang w:val="en-AU" w:eastAsia="en-GB"/>
                <w14:ligatures w14:val="none"/>
              </w:rPr>
              <w:t xml:space="preserve">Capers IV, (2020) </w:t>
            </w:r>
            <w:r w:rsidR="005C1FCA">
              <w:rPr>
                <w:rFonts w:ascii="Calibri" w:eastAsia="Times New Roman" w:hAnsi="Calibri" w:cs="Calibri"/>
                <w:noProof/>
                <w:color w:val="000000"/>
                <w:kern w:val="0"/>
                <w:sz w:val="16"/>
                <w:szCs w:val="16"/>
                <w:lang w:val="en-AU" w:eastAsia="en-GB"/>
                <w14:ligatures w14:val="none"/>
              </w:rPr>
              <w:t>[24]</w:t>
            </w:r>
          </w:p>
        </w:tc>
        <w:tc>
          <w:tcPr>
            <w:tcW w:w="4500" w:type="dxa"/>
          </w:tcPr>
          <w:p w14:paraId="46B3A2A5"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How clinicians and educators can mitigate implicit bias in patient care and candidate selection in medical education</w:t>
            </w:r>
            <w:r>
              <w:rPr>
                <w:rFonts w:ascii="Calibri" w:eastAsia="Times New Roman" w:hAnsi="Calibri" w:cs="Calibri"/>
                <w:color w:val="000000"/>
                <w:kern w:val="0"/>
                <w:sz w:val="16"/>
                <w:szCs w:val="16"/>
                <w:lang w:val="en-AU" w:eastAsia="en-GB"/>
                <w14:ligatures w14:val="none"/>
              </w:rPr>
              <w:t>.</w:t>
            </w:r>
          </w:p>
        </w:tc>
        <w:tc>
          <w:tcPr>
            <w:tcW w:w="2430" w:type="dxa"/>
            <w:hideMark/>
          </w:tcPr>
          <w:p w14:paraId="747368FB"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3CF5D8E" w14:textId="77777777" w:rsidTr="004C04AF">
        <w:trPr>
          <w:trHeight w:val="680"/>
        </w:trPr>
        <w:tc>
          <w:tcPr>
            <w:tcW w:w="2155" w:type="dxa"/>
            <w:noWrap/>
            <w:hideMark/>
          </w:tcPr>
          <w:p w14:paraId="3B1FEE0E" w14:textId="3292358A"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Carabez</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[25]</w:t>
            </w:r>
          </w:p>
        </w:tc>
        <w:tc>
          <w:tcPr>
            <w:tcW w:w="4500" w:type="dxa"/>
          </w:tcPr>
          <w:p w14:paraId="52FC5345"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Nursing students' perceptions of their knowledge of lesbian, gay, bisexual, and transgender issues: effectiveness of a multi-purpose assignment in a public health nursing class</w:t>
            </w:r>
          </w:p>
        </w:tc>
        <w:tc>
          <w:tcPr>
            <w:tcW w:w="2430" w:type="dxa"/>
            <w:hideMark/>
          </w:tcPr>
          <w:p w14:paraId="35136325"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p>
        </w:tc>
      </w:tr>
      <w:tr w:rsidR="00040104" w:rsidRPr="00F82998" w14:paraId="486DEAC0" w14:textId="77777777" w:rsidTr="004C04AF">
        <w:trPr>
          <w:trHeight w:val="680"/>
        </w:trPr>
        <w:tc>
          <w:tcPr>
            <w:tcW w:w="2155" w:type="dxa"/>
            <w:noWrap/>
            <w:hideMark/>
          </w:tcPr>
          <w:p w14:paraId="0544E5A2" w14:textId="2D35A78D"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Desy</w:t>
            </w:r>
            <w:proofErr w:type="spellEnd"/>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color w:val="000000"/>
                <w:kern w:val="0"/>
                <w:sz w:val="16"/>
                <w:szCs w:val="16"/>
                <w:lang w:val="en-AU" w:eastAsia="en-GB"/>
                <w14:ligatures w14:val="none"/>
              </w:rPr>
              <w:t>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[26]</w:t>
            </w:r>
          </w:p>
        </w:tc>
        <w:tc>
          <w:tcPr>
            <w:tcW w:w="4500" w:type="dxa"/>
          </w:tcPr>
          <w:p w14:paraId="3F2A318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How can we reduce bias during an academic assessment reappraisal?</w:t>
            </w:r>
          </w:p>
        </w:tc>
        <w:tc>
          <w:tcPr>
            <w:tcW w:w="2430" w:type="dxa"/>
            <w:hideMark/>
          </w:tcPr>
          <w:p w14:paraId="50BB9C7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7483D044" w14:textId="77777777" w:rsidTr="004C04AF">
        <w:trPr>
          <w:trHeight w:val="629"/>
        </w:trPr>
        <w:tc>
          <w:tcPr>
            <w:tcW w:w="2155" w:type="dxa"/>
            <w:noWrap/>
            <w:hideMark/>
          </w:tcPr>
          <w:p w14:paraId="3BD3B512"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Dixon-Woods</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2002</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c>
          <w:tcPr>
            <w:tcW w:w="4500" w:type="dxa"/>
          </w:tcPr>
          <w:p w14:paraId="43D64DE7"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and learning about human sexuality in undergraduate medical education</w:t>
            </w:r>
          </w:p>
        </w:tc>
        <w:tc>
          <w:tcPr>
            <w:tcW w:w="2430" w:type="dxa"/>
            <w:hideMark/>
          </w:tcPr>
          <w:p w14:paraId="0F777302"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35DEF190" w14:textId="77777777" w:rsidTr="004C04AF">
        <w:trPr>
          <w:trHeight w:val="680"/>
        </w:trPr>
        <w:tc>
          <w:tcPr>
            <w:tcW w:w="2155" w:type="dxa"/>
            <w:noWrap/>
            <w:hideMark/>
          </w:tcPr>
          <w:p w14:paraId="7FD9B7E9" w14:textId="364E02E6"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Gonzalez</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[27]</w:t>
            </w:r>
          </w:p>
        </w:tc>
        <w:tc>
          <w:tcPr>
            <w:tcW w:w="4500" w:type="dxa"/>
          </w:tcPr>
          <w:p w14:paraId="5E71658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Patient perspectives on racial and ethnic implicit bias in clinical encounters: Implications for curriculum development</w:t>
            </w:r>
            <w:r>
              <w:rPr>
                <w:rFonts w:ascii="Calibri" w:eastAsia="Times New Roman" w:hAnsi="Calibri" w:cs="Calibri"/>
                <w:color w:val="000000"/>
                <w:kern w:val="0"/>
                <w:sz w:val="16"/>
                <w:szCs w:val="16"/>
                <w:lang w:val="en-AU" w:eastAsia="en-GB"/>
                <w14:ligatures w14:val="none"/>
              </w:rPr>
              <w:t>.</w:t>
            </w:r>
          </w:p>
        </w:tc>
        <w:tc>
          <w:tcPr>
            <w:tcW w:w="2430" w:type="dxa"/>
            <w:hideMark/>
          </w:tcPr>
          <w:p w14:paraId="3F51881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39768CBA" w14:textId="77777777" w:rsidTr="004C04AF">
        <w:trPr>
          <w:trHeight w:val="680"/>
        </w:trPr>
        <w:tc>
          <w:tcPr>
            <w:tcW w:w="2155" w:type="dxa"/>
            <w:noWrap/>
            <w:hideMark/>
          </w:tcPr>
          <w:p w14:paraId="44E5E9EB" w14:textId="0182F8ED"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Gonzalez</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[28]</w:t>
            </w:r>
          </w:p>
        </w:tc>
        <w:tc>
          <w:tcPr>
            <w:tcW w:w="4500" w:type="dxa"/>
          </w:tcPr>
          <w:p w14:paraId="434BB696"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7C04DD">
              <w:rPr>
                <w:rFonts w:ascii="Calibri" w:eastAsia="Times New Roman" w:hAnsi="Calibri" w:cs="Calibri"/>
                <w:color w:val="000000"/>
                <w:kern w:val="0"/>
                <w:sz w:val="16"/>
                <w:szCs w:val="16"/>
                <w:lang w:val="en-AU" w:eastAsia="en-GB"/>
                <w14:ligatures w14:val="none"/>
              </w:rPr>
              <w:t>A Qualitative Study of New York Medical Student Views on Implicit Bias Instruction: Implications for Curriculum Development</w:t>
            </w:r>
            <w:r>
              <w:rPr>
                <w:rFonts w:ascii="Calibri" w:eastAsia="Times New Roman" w:hAnsi="Calibri" w:cs="Calibri"/>
                <w:color w:val="000000"/>
                <w:kern w:val="0"/>
                <w:sz w:val="16"/>
                <w:szCs w:val="16"/>
                <w:lang w:val="en-AU" w:eastAsia="en-GB"/>
                <w14:ligatures w14:val="none"/>
              </w:rPr>
              <w:t>.</w:t>
            </w:r>
          </w:p>
        </w:tc>
        <w:tc>
          <w:tcPr>
            <w:tcW w:w="2430" w:type="dxa"/>
            <w:hideMark/>
          </w:tcPr>
          <w:p w14:paraId="4AA866A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5BB9744A" w14:textId="77777777" w:rsidTr="004C04AF">
        <w:trPr>
          <w:trHeight w:val="836"/>
        </w:trPr>
        <w:tc>
          <w:tcPr>
            <w:tcW w:w="2155" w:type="dxa"/>
            <w:noWrap/>
            <w:hideMark/>
          </w:tcPr>
          <w:p w14:paraId="14018BAC" w14:textId="58DFD07E"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Harris</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[29]</w:t>
            </w:r>
          </w:p>
        </w:tc>
        <w:tc>
          <w:tcPr>
            <w:tcW w:w="4500" w:type="dxa"/>
          </w:tcPr>
          <w:p w14:paraId="1A57FFA2"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Development and testing of study tools and methods to examine ethnic bias and clinical decision-making among medical students in New Zealand: The Bias and Decision-Making in Medicine (BDMM) study</w:t>
            </w:r>
          </w:p>
        </w:tc>
        <w:tc>
          <w:tcPr>
            <w:tcW w:w="2430" w:type="dxa"/>
            <w:hideMark/>
          </w:tcPr>
          <w:p w14:paraId="3CF69B88"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62B70617" w14:textId="77777777" w:rsidTr="004C04AF">
        <w:trPr>
          <w:trHeight w:val="680"/>
        </w:trPr>
        <w:tc>
          <w:tcPr>
            <w:tcW w:w="2155" w:type="dxa"/>
            <w:noWrap/>
            <w:hideMark/>
          </w:tcPr>
          <w:p w14:paraId="74AF2A73" w14:textId="6381BC18"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Hernandez</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[30]</w:t>
            </w:r>
          </w:p>
        </w:tc>
        <w:tc>
          <w:tcPr>
            <w:tcW w:w="4500" w:type="dxa"/>
          </w:tcPr>
          <w:p w14:paraId="7EFC695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Medical students' implicit bias and the communication of norms in medical education</w:t>
            </w:r>
            <w:r>
              <w:rPr>
                <w:rFonts w:ascii="Calibri" w:eastAsia="Times New Roman" w:hAnsi="Calibri" w:cs="Calibri"/>
                <w:color w:val="000000"/>
                <w:kern w:val="0"/>
                <w:sz w:val="16"/>
                <w:szCs w:val="16"/>
                <w:lang w:val="en-AU" w:eastAsia="en-GB"/>
                <w14:ligatures w14:val="none"/>
              </w:rPr>
              <w:t>.</w:t>
            </w:r>
          </w:p>
        </w:tc>
        <w:tc>
          <w:tcPr>
            <w:tcW w:w="2430" w:type="dxa"/>
            <w:hideMark/>
          </w:tcPr>
          <w:p w14:paraId="34635B6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7F94B2A6" w14:textId="77777777" w:rsidTr="004C04AF">
        <w:trPr>
          <w:trHeight w:val="680"/>
        </w:trPr>
        <w:tc>
          <w:tcPr>
            <w:tcW w:w="2155" w:type="dxa"/>
            <w:noWrap/>
            <w:hideMark/>
          </w:tcPr>
          <w:p w14:paraId="2271819D" w14:textId="126D4F0C"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Issac</w:t>
            </w:r>
            <w:proofErr w:type="spellEnd"/>
            <w:r>
              <w:rPr>
                <w:rFonts w:ascii="Calibri" w:eastAsia="Times New Roman" w:hAnsi="Calibri" w:cs="Calibri"/>
                <w:color w:val="000000"/>
                <w:kern w:val="0"/>
                <w:sz w:val="16"/>
                <w:szCs w:val="16"/>
                <w:lang w:val="en-AU" w:eastAsia="en-GB"/>
                <w14:ligatures w14:val="none"/>
              </w:rPr>
              <w:t xml:space="preserve"> &amp;</w:t>
            </w:r>
            <w:r w:rsidRPr="00F82998">
              <w:rPr>
                <w:rFonts w:ascii="Calibri" w:eastAsia="Times New Roman" w:hAnsi="Calibri" w:cs="Calibri"/>
                <w:color w:val="000000"/>
                <w:kern w:val="0"/>
                <w:sz w:val="16"/>
                <w:szCs w:val="16"/>
                <w:lang w:val="en-AU" w:eastAsia="en-GB"/>
                <w14:ligatures w14:val="none"/>
              </w:rPr>
              <w:t xml:space="preserve"> Behar-</w:t>
            </w:r>
            <w:proofErr w:type="spellStart"/>
            <w:r w:rsidRPr="00F82998">
              <w:rPr>
                <w:rFonts w:ascii="Calibri" w:eastAsia="Times New Roman" w:hAnsi="Calibri" w:cs="Calibri"/>
                <w:color w:val="000000"/>
                <w:kern w:val="0"/>
                <w:sz w:val="16"/>
                <w:szCs w:val="16"/>
                <w:lang w:val="en-AU" w:eastAsia="en-GB"/>
                <w14:ligatures w14:val="none"/>
              </w:rPr>
              <w:t>Horenstein</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[31]</w:t>
            </w:r>
          </w:p>
        </w:tc>
        <w:tc>
          <w:tcPr>
            <w:tcW w:w="4500" w:type="dxa"/>
          </w:tcPr>
          <w:p w14:paraId="77863508"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Impact of interviews on heterosexual students' expression of cultural competency</w:t>
            </w:r>
            <w:r>
              <w:rPr>
                <w:rFonts w:ascii="Calibri" w:eastAsia="Times New Roman" w:hAnsi="Calibri" w:cs="Calibri"/>
                <w:color w:val="000000"/>
                <w:kern w:val="0"/>
                <w:sz w:val="16"/>
                <w:szCs w:val="16"/>
                <w:lang w:val="en-AU" w:eastAsia="en-GB"/>
                <w14:ligatures w14:val="none"/>
              </w:rPr>
              <w:t>.</w:t>
            </w:r>
          </w:p>
        </w:tc>
        <w:tc>
          <w:tcPr>
            <w:tcW w:w="2430" w:type="dxa"/>
            <w:hideMark/>
          </w:tcPr>
          <w:p w14:paraId="72AD5B4E"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5973AFD" w14:textId="77777777" w:rsidTr="004C04AF">
        <w:trPr>
          <w:trHeight w:val="680"/>
        </w:trPr>
        <w:tc>
          <w:tcPr>
            <w:tcW w:w="2155" w:type="dxa"/>
            <w:noWrap/>
            <w:hideMark/>
          </w:tcPr>
          <w:p w14:paraId="06967921" w14:textId="3636F8F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Johnson</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[32]</w:t>
            </w:r>
          </w:p>
        </w:tc>
        <w:tc>
          <w:tcPr>
            <w:tcW w:w="4500" w:type="dxa"/>
          </w:tcPr>
          <w:p w14:paraId="55B18CFA"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Student-Initiated Sexual Health Selective as a Curricular Tool</w:t>
            </w:r>
          </w:p>
        </w:tc>
        <w:tc>
          <w:tcPr>
            <w:tcW w:w="2430" w:type="dxa"/>
            <w:hideMark/>
          </w:tcPr>
          <w:p w14:paraId="177A302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60E7B210" w14:textId="77777777" w:rsidTr="00EE5D60">
        <w:trPr>
          <w:trHeight w:val="476"/>
        </w:trPr>
        <w:tc>
          <w:tcPr>
            <w:tcW w:w="2155" w:type="dxa"/>
            <w:noWrap/>
            <w:hideMark/>
          </w:tcPr>
          <w:p w14:paraId="55BED36D" w14:textId="312EC3B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Kassirer</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2010</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[33]</w:t>
            </w:r>
          </w:p>
        </w:tc>
        <w:tc>
          <w:tcPr>
            <w:tcW w:w="4500" w:type="dxa"/>
          </w:tcPr>
          <w:p w14:paraId="14C1DC6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clinical reasoning: case-based and coached</w:t>
            </w:r>
            <w:r>
              <w:rPr>
                <w:rFonts w:ascii="Calibri" w:eastAsia="Times New Roman" w:hAnsi="Calibri" w:cs="Calibri"/>
                <w:color w:val="000000"/>
                <w:kern w:val="0"/>
                <w:sz w:val="16"/>
                <w:szCs w:val="16"/>
                <w:lang w:val="en-AU" w:eastAsia="en-GB"/>
                <w14:ligatures w14:val="none"/>
              </w:rPr>
              <w:t>.</w:t>
            </w:r>
          </w:p>
        </w:tc>
        <w:tc>
          <w:tcPr>
            <w:tcW w:w="2430" w:type="dxa"/>
            <w:hideMark/>
          </w:tcPr>
          <w:p w14:paraId="6C324E03"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52F455BE" w14:textId="77777777" w:rsidTr="004C04AF">
        <w:trPr>
          <w:trHeight w:val="680"/>
        </w:trPr>
        <w:tc>
          <w:tcPr>
            <w:tcW w:w="2155" w:type="dxa"/>
            <w:noWrap/>
            <w:hideMark/>
          </w:tcPr>
          <w:p w14:paraId="33A6FC16" w14:textId="26BC18BF"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Keiller</w:t>
            </w:r>
            <w:proofErr w:type="spellEnd"/>
            <w:r>
              <w:rPr>
                <w:rFonts w:ascii="Calibri" w:eastAsia="Times New Roman" w:hAnsi="Calibri" w:cs="Calibri"/>
                <w:color w:val="000000"/>
                <w:kern w:val="0"/>
                <w:sz w:val="16"/>
                <w:szCs w:val="16"/>
                <w:lang w:val="en-AU" w:eastAsia="en-GB"/>
                <w14:ligatures w14:val="none"/>
              </w:rPr>
              <w:t xml:space="preserve"> &amp;</w:t>
            </w:r>
            <w:r w:rsidRPr="00F82998">
              <w:rPr>
                <w:rFonts w:ascii="Calibri" w:eastAsia="Times New Roman" w:hAnsi="Calibri" w:cs="Calibri"/>
                <w:color w:val="000000"/>
                <w:kern w:val="0"/>
                <w:sz w:val="16"/>
                <w:szCs w:val="16"/>
                <w:lang w:val="en-AU" w:eastAsia="en-GB"/>
                <w14:ligatures w14:val="none"/>
              </w:rPr>
              <w:t xml:space="preserve"> </w:t>
            </w:r>
            <w:proofErr w:type="spellStart"/>
            <w:r w:rsidRPr="00F82998">
              <w:rPr>
                <w:rFonts w:ascii="Calibri" w:eastAsia="Times New Roman" w:hAnsi="Calibri" w:cs="Calibri"/>
                <w:color w:val="000000"/>
                <w:kern w:val="0"/>
                <w:sz w:val="16"/>
                <w:szCs w:val="16"/>
                <w:lang w:val="en-AU" w:eastAsia="en-GB"/>
                <w14:ligatures w14:val="none"/>
              </w:rPr>
              <w:t>Hanekom</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2014</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[34]</w:t>
            </w:r>
          </w:p>
        </w:tc>
        <w:tc>
          <w:tcPr>
            <w:tcW w:w="4500" w:type="dxa"/>
          </w:tcPr>
          <w:p w14:paraId="28219D87" w14:textId="77777777" w:rsidR="00040104" w:rsidRPr="00EE5D60" w:rsidRDefault="00040104" w:rsidP="00BB6553">
            <w:pPr>
              <w:rPr>
                <w:rFonts w:ascii="Calibri" w:eastAsia="Times New Roman" w:hAnsi="Calibri" w:cs="Calibri"/>
                <w:b/>
                <w:bCs/>
                <w:color w:val="000000"/>
                <w:kern w:val="0"/>
                <w:sz w:val="16"/>
                <w:szCs w:val="16"/>
                <w:lang w:val="en-AU" w:eastAsia="en-GB"/>
                <w14:ligatures w14:val="none"/>
              </w:rPr>
            </w:pPr>
            <w:r>
              <w:rPr>
                <w:rFonts w:ascii="Calibri" w:eastAsia="Times New Roman" w:hAnsi="Calibri" w:cs="Calibri"/>
                <w:color w:val="000000"/>
                <w:kern w:val="0"/>
                <w:sz w:val="16"/>
                <w:szCs w:val="16"/>
                <w:lang w:val="en-AU" w:eastAsia="en-GB"/>
                <w14:ligatures w14:val="none"/>
              </w:rPr>
              <w:t>S</w:t>
            </w:r>
            <w:r w:rsidRPr="00F82998">
              <w:rPr>
                <w:rFonts w:ascii="Calibri" w:eastAsia="Times New Roman" w:hAnsi="Calibri" w:cs="Calibri"/>
                <w:color w:val="000000"/>
                <w:kern w:val="0"/>
                <w:sz w:val="16"/>
                <w:szCs w:val="16"/>
                <w:lang w:val="en-AU" w:eastAsia="en-GB"/>
                <w14:ligatures w14:val="none"/>
              </w:rPr>
              <w:t>trategies to increase clinical reasoning and critical thinking in physiotherapy education</w:t>
            </w:r>
            <w:r>
              <w:rPr>
                <w:rFonts w:ascii="Calibri" w:eastAsia="Times New Roman" w:hAnsi="Calibri" w:cs="Calibri"/>
                <w:color w:val="000000"/>
                <w:kern w:val="0"/>
                <w:sz w:val="16"/>
                <w:szCs w:val="16"/>
                <w:lang w:val="en-AU" w:eastAsia="en-GB"/>
                <w14:ligatures w14:val="none"/>
              </w:rPr>
              <w:t>.</w:t>
            </w:r>
          </w:p>
        </w:tc>
        <w:tc>
          <w:tcPr>
            <w:tcW w:w="2430" w:type="dxa"/>
            <w:hideMark/>
          </w:tcPr>
          <w:p w14:paraId="2CA50D1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4C4C232F" w14:textId="77777777" w:rsidTr="004C04AF">
        <w:trPr>
          <w:trHeight w:val="680"/>
        </w:trPr>
        <w:tc>
          <w:tcPr>
            <w:tcW w:w="2155" w:type="dxa"/>
            <w:noWrap/>
            <w:hideMark/>
          </w:tcPr>
          <w:p w14:paraId="028A35D1" w14:textId="4DE86DBF"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Kelley</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2008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[35]</w:t>
            </w:r>
          </w:p>
        </w:tc>
        <w:tc>
          <w:tcPr>
            <w:tcW w:w="4500" w:type="dxa"/>
          </w:tcPr>
          <w:p w14:paraId="0B3F339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critical intervention in lesbian, gay, bisexual, and transgender health: knowledge and attitude outcomes among second-year medical students</w:t>
            </w:r>
          </w:p>
        </w:tc>
        <w:tc>
          <w:tcPr>
            <w:tcW w:w="2430" w:type="dxa"/>
            <w:hideMark/>
          </w:tcPr>
          <w:p w14:paraId="12AB2F8E"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1FA1BDE" w14:textId="77777777" w:rsidTr="004C04AF">
        <w:trPr>
          <w:trHeight w:val="680"/>
        </w:trPr>
        <w:tc>
          <w:tcPr>
            <w:tcW w:w="2155" w:type="dxa"/>
            <w:noWrap/>
            <w:hideMark/>
          </w:tcPr>
          <w:p w14:paraId="1FEE8D0B" w14:textId="7D35A770"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Klayman</w:t>
            </w:r>
            <w:proofErr w:type="spellEnd"/>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Brown</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1993</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[36]</w:t>
            </w:r>
          </w:p>
        </w:tc>
        <w:tc>
          <w:tcPr>
            <w:tcW w:w="4500" w:type="dxa"/>
          </w:tcPr>
          <w:p w14:paraId="1DA59B6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Debias the environment instead of the judge: An alternative approach to reducing error in diagnostic (and other) judgment</w:t>
            </w:r>
          </w:p>
        </w:tc>
        <w:tc>
          <w:tcPr>
            <w:tcW w:w="2430" w:type="dxa"/>
            <w:hideMark/>
          </w:tcPr>
          <w:p w14:paraId="75470E3C"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5382F884" w14:textId="77777777" w:rsidTr="004C04AF">
        <w:trPr>
          <w:trHeight w:val="680"/>
        </w:trPr>
        <w:tc>
          <w:tcPr>
            <w:tcW w:w="2155" w:type="dxa"/>
            <w:noWrap/>
            <w:hideMark/>
          </w:tcPr>
          <w:p w14:paraId="330BE818" w14:textId="2A1C26BF"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lastRenderedPageBreak/>
              <w:t>Klein</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[37]</w:t>
            </w:r>
          </w:p>
        </w:tc>
        <w:tc>
          <w:tcPr>
            <w:tcW w:w="4500" w:type="dxa"/>
          </w:tcPr>
          <w:p w14:paraId="6AD3AF6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Fostering medical students' clinical reasoning by learning from errors in clinical case vignettes: effects and conditions of additional prompting procedures to foster self-explanations</w:t>
            </w:r>
          </w:p>
        </w:tc>
        <w:tc>
          <w:tcPr>
            <w:tcW w:w="2430" w:type="dxa"/>
            <w:hideMark/>
          </w:tcPr>
          <w:p w14:paraId="55FC84E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3AA73980" w14:textId="77777777" w:rsidTr="004C04AF">
        <w:trPr>
          <w:trHeight w:val="890"/>
        </w:trPr>
        <w:tc>
          <w:tcPr>
            <w:tcW w:w="2155" w:type="dxa"/>
            <w:noWrap/>
            <w:hideMark/>
          </w:tcPr>
          <w:p w14:paraId="6284CA0D" w14:textId="53588EF0"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Lambe</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[38]</w:t>
            </w:r>
          </w:p>
        </w:tc>
        <w:tc>
          <w:tcPr>
            <w:tcW w:w="4500" w:type="dxa"/>
          </w:tcPr>
          <w:p w14:paraId="1B48365B"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Guided Reflection Interventions Show No Effect on Diagnostic Accuracy in Medical Students</w:t>
            </w:r>
          </w:p>
        </w:tc>
        <w:tc>
          <w:tcPr>
            <w:tcW w:w="2430" w:type="dxa"/>
            <w:hideMark/>
          </w:tcPr>
          <w:p w14:paraId="3C5A0E89" w14:textId="77777777" w:rsidR="00040104"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Send to 3rd person for consideration</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p w14:paraId="65EC7090"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3398AF39" w14:textId="77777777" w:rsidTr="004C04AF">
        <w:trPr>
          <w:trHeight w:val="584"/>
        </w:trPr>
        <w:tc>
          <w:tcPr>
            <w:tcW w:w="2155" w:type="dxa"/>
            <w:noWrap/>
            <w:hideMark/>
          </w:tcPr>
          <w:p w14:paraId="3C55C0A3" w14:textId="7FF654A6"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Maina</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[39]</w:t>
            </w:r>
          </w:p>
        </w:tc>
        <w:tc>
          <w:tcPr>
            <w:tcW w:w="4500" w:type="dxa"/>
          </w:tcPr>
          <w:p w14:paraId="40CBFE96"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decade of studying implicit racial/ethnic bias in healthcare providers using the implicit association test</w:t>
            </w:r>
          </w:p>
        </w:tc>
        <w:tc>
          <w:tcPr>
            <w:tcW w:w="2430" w:type="dxa"/>
            <w:hideMark/>
          </w:tcPr>
          <w:p w14:paraId="6CF2A45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3984729" w14:textId="77777777" w:rsidTr="004C04AF">
        <w:trPr>
          <w:trHeight w:val="680"/>
        </w:trPr>
        <w:tc>
          <w:tcPr>
            <w:tcW w:w="2155" w:type="dxa"/>
            <w:noWrap/>
            <w:hideMark/>
          </w:tcPr>
          <w:p w14:paraId="0386E7F7" w14:textId="16D20016"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McCormick</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Seta</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2012</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[40]</w:t>
            </w:r>
          </w:p>
        </w:tc>
        <w:tc>
          <w:tcPr>
            <w:tcW w:w="4500" w:type="dxa"/>
          </w:tcPr>
          <w:p w14:paraId="697DA26E"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Lateralized goal framing: How selective presentation impacts message effectiveness</w:t>
            </w:r>
          </w:p>
        </w:tc>
        <w:tc>
          <w:tcPr>
            <w:tcW w:w="2430" w:type="dxa"/>
            <w:hideMark/>
          </w:tcPr>
          <w:p w14:paraId="13CD3C8A"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7FAA2FE2" w14:textId="77777777" w:rsidTr="004C04AF">
        <w:trPr>
          <w:trHeight w:val="701"/>
        </w:trPr>
        <w:tc>
          <w:tcPr>
            <w:tcW w:w="2155" w:type="dxa"/>
            <w:noWrap/>
            <w:hideMark/>
          </w:tcPr>
          <w:p w14:paraId="43EEBF3E" w14:textId="673030C0"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Myung</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2013</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[41]</w:t>
            </w:r>
          </w:p>
        </w:tc>
        <w:tc>
          <w:tcPr>
            <w:tcW w:w="4500" w:type="dxa"/>
          </w:tcPr>
          <w:p w14:paraId="392B9513"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Effect of enhanced analytic reasoning on diagnostic accuracy: a randomized controlled study</w:t>
            </w:r>
          </w:p>
        </w:tc>
        <w:tc>
          <w:tcPr>
            <w:tcW w:w="2430" w:type="dxa"/>
            <w:hideMark/>
          </w:tcPr>
          <w:p w14:paraId="5802D4CA"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787B967B" w14:textId="77777777" w:rsidTr="004C04AF">
        <w:trPr>
          <w:trHeight w:val="701"/>
        </w:trPr>
        <w:tc>
          <w:tcPr>
            <w:tcW w:w="2155" w:type="dxa"/>
            <w:noWrap/>
            <w:hideMark/>
          </w:tcPr>
          <w:p w14:paraId="3EFBDD86" w14:textId="219579B0"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Phelan</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[42]</w:t>
            </w:r>
          </w:p>
        </w:tc>
        <w:tc>
          <w:tcPr>
            <w:tcW w:w="4500" w:type="dxa"/>
          </w:tcPr>
          <w:p w14:paraId="5F6E313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The mixed impact of medical school on medical students' implicit and explicit weight bias</w:t>
            </w:r>
          </w:p>
        </w:tc>
        <w:tc>
          <w:tcPr>
            <w:tcW w:w="2430" w:type="dxa"/>
            <w:hideMark/>
          </w:tcPr>
          <w:p w14:paraId="216345DB"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7BFC7742" w14:textId="77777777" w:rsidTr="00473717">
        <w:trPr>
          <w:trHeight w:val="530"/>
        </w:trPr>
        <w:tc>
          <w:tcPr>
            <w:tcW w:w="2155" w:type="dxa"/>
            <w:noWrap/>
            <w:hideMark/>
          </w:tcPr>
          <w:p w14:paraId="3848E82B" w14:textId="45A092DE" w:rsidR="00040104" w:rsidRPr="00F82998" w:rsidRDefault="00040104"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Reinsch</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[43]</w:t>
            </w:r>
          </w:p>
        </w:tc>
        <w:tc>
          <w:tcPr>
            <w:tcW w:w="4500" w:type="dxa"/>
          </w:tcPr>
          <w:p w14:paraId="5FFF7A48"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Student evaluations and the problem of implicit bias</w:t>
            </w:r>
          </w:p>
        </w:tc>
        <w:tc>
          <w:tcPr>
            <w:tcW w:w="2430" w:type="dxa"/>
            <w:hideMark/>
          </w:tcPr>
          <w:p w14:paraId="670312FE"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CAA1ADF" w14:textId="77777777" w:rsidTr="004C04AF">
        <w:trPr>
          <w:trHeight w:val="680"/>
        </w:trPr>
        <w:tc>
          <w:tcPr>
            <w:tcW w:w="2155" w:type="dxa"/>
            <w:noWrap/>
            <w:hideMark/>
          </w:tcPr>
          <w:p w14:paraId="1F7808C7" w14:textId="6A513995"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Richie</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Josephson</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[44]</w:t>
            </w:r>
          </w:p>
        </w:tc>
        <w:tc>
          <w:tcPr>
            <w:tcW w:w="4500" w:type="dxa"/>
          </w:tcPr>
          <w:p w14:paraId="5AF5800D"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Quantifying heuristic bias: Anchoring, availability, and representativeness</w:t>
            </w:r>
          </w:p>
        </w:tc>
        <w:tc>
          <w:tcPr>
            <w:tcW w:w="2430" w:type="dxa"/>
            <w:hideMark/>
          </w:tcPr>
          <w:p w14:paraId="173E50B0"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4A1AF62C" w14:textId="77777777" w:rsidTr="004C04AF">
        <w:trPr>
          <w:trHeight w:val="680"/>
        </w:trPr>
        <w:tc>
          <w:tcPr>
            <w:tcW w:w="2155" w:type="dxa"/>
            <w:noWrap/>
            <w:hideMark/>
          </w:tcPr>
          <w:p w14:paraId="34D5B9EC" w14:textId="3BB72645"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Sanders</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 xml:space="preserve">McHugh </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2021</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[45]</w:t>
            </w:r>
          </w:p>
        </w:tc>
        <w:tc>
          <w:tcPr>
            <w:tcW w:w="4500" w:type="dxa"/>
          </w:tcPr>
          <w:p w14:paraId="064A7592"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Pre-clerkship medical students' experiences and perspectives of System 1 and System 2 thinking: A qualitative study</w:t>
            </w:r>
          </w:p>
        </w:tc>
        <w:tc>
          <w:tcPr>
            <w:tcW w:w="2430" w:type="dxa"/>
            <w:hideMark/>
          </w:tcPr>
          <w:p w14:paraId="718D058D"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02B4756B" w14:textId="77777777" w:rsidTr="004C04AF">
        <w:trPr>
          <w:trHeight w:val="680"/>
        </w:trPr>
        <w:tc>
          <w:tcPr>
            <w:tcW w:w="2155" w:type="dxa"/>
            <w:noWrap/>
            <w:hideMark/>
          </w:tcPr>
          <w:p w14:paraId="0762CAE2" w14:textId="558313E1"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Strong</w:t>
            </w:r>
            <w:r>
              <w:rPr>
                <w:rFonts w:ascii="Calibri" w:eastAsia="Times New Roman" w:hAnsi="Calibri" w:cs="Calibri"/>
                <w:color w:val="000000"/>
                <w:kern w:val="0"/>
                <w:sz w:val="16"/>
                <w:szCs w:val="16"/>
                <w:lang w:val="en-AU" w:eastAsia="en-GB"/>
                <w14:ligatures w14:val="none"/>
              </w:rPr>
              <w:t xml:space="preserve"> &amp; </w:t>
            </w:r>
            <w:proofErr w:type="spellStart"/>
            <w:r w:rsidRPr="00F82998">
              <w:rPr>
                <w:rFonts w:ascii="Calibri" w:eastAsia="Times New Roman" w:hAnsi="Calibri" w:cs="Calibri"/>
                <w:color w:val="000000"/>
                <w:kern w:val="0"/>
                <w:sz w:val="16"/>
                <w:szCs w:val="16"/>
                <w:lang w:val="en-AU" w:eastAsia="en-GB"/>
                <w14:ligatures w14:val="none"/>
              </w:rPr>
              <w:t>Folse</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[46]</w:t>
            </w:r>
          </w:p>
        </w:tc>
        <w:tc>
          <w:tcPr>
            <w:tcW w:w="4500" w:type="dxa"/>
          </w:tcPr>
          <w:p w14:paraId="740DEBDB"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Assessing undergraduate nursing students' knowledge, attitudes, and cultural competence in caring for lesbian, gay, bisexual, and transgender patients</w:t>
            </w:r>
          </w:p>
        </w:tc>
        <w:tc>
          <w:tcPr>
            <w:tcW w:w="2430" w:type="dxa"/>
            <w:hideMark/>
          </w:tcPr>
          <w:p w14:paraId="551E33C2"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57B61174" w14:textId="77777777" w:rsidTr="004C04AF">
        <w:trPr>
          <w:trHeight w:val="680"/>
        </w:trPr>
        <w:tc>
          <w:tcPr>
            <w:tcW w:w="2155" w:type="dxa"/>
            <w:noWrap/>
            <w:hideMark/>
          </w:tcPr>
          <w:p w14:paraId="6009387A" w14:textId="247188BC"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Taris</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2001</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[47]</w:t>
            </w:r>
          </w:p>
        </w:tc>
        <w:tc>
          <w:tcPr>
            <w:tcW w:w="4500" w:type="dxa"/>
          </w:tcPr>
          <w:p w14:paraId="5CC87969"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Job stress, job strain, and psychological withdrawal among Dutch university staff: towards a dual-process model for the effects of occupational stress</w:t>
            </w:r>
          </w:p>
        </w:tc>
        <w:tc>
          <w:tcPr>
            <w:tcW w:w="2430" w:type="dxa"/>
            <w:hideMark/>
          </w:tcPr>
          <w:p w14:paraId="11E6A0DE"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040104" w:rsidRPr="00F82998" w14:paraId="45C8010F" w14:textId="77777777" w:rsidTr="004C04AF">
        <w:trPr>
          <w:trHeight w:val="680"/>
        </w:trPr>
        <w:tc>
          <w:tcPr>
            <w:tcW w:w="2155" w:type="dxa"/>
            <w:noWrap/>
            <w:hideMark/>
          </w:tcPr>
          <w:p w14:paraId="7EC880CE" w14:textId="1B866476"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Thomas</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Valli</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2006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[48]</w:t>
            </w:r>
          </w:p>
        </w:tc>
        <w:tc>
          <w:tcPr>
            <w:tcW w:w="4500" w:type="dxa"/>
          </w:tcPr>
          <w:p w14:paraId="6D024DBA"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Levels of occupational stress in doctors working in a South African public-sector hospital</w:t>
            </w:r>
          </w:p>
        </w:tc>
        <w:tc>
          <w:tcPr>
            <w:tcW w:w="2430" w:type="dxa"/>
            <w:hideMark/>
          </w:tcPr>
          <w:p w14:paraId="0C6CD22F"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p>
        </w:tc>
      </w:tr>
      <w:tr w:rsidR="00040104" w:rsidRPr="00F82998" w14:paraId="0D5FE3EA" w14:textId="77777777" w:rsidTr="004C04AF">
        <w:trPr>
          <w:trHeight w:val="340"/>
        </w:trPr>
        <w:tc>
          <w:tcPr>
            <w:tcW w:w="2155" w:type="dxa"/>
            <w:noWrap/>
            <w:hideMark/>
          </w:tcPr>
          <w:p w14:paraId="24DD67D4" w14:textId="0C2B5074"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Wallsten</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1981</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[49]</w:t>
            </w:r>
          </w:p>
        </w:tc>
        <w:tc>
          <w:tcPr>
            <w:tcW w:w="4500" w:type="dxa"/>
          </w:tcPr>
          <w:p w14:paraId="5CE4FF83"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Physician and medical student bias in evaluating diagnostic information</w:t>
            </w:r>
          </w:p>
        </w:tc>
        <w:tc>
          <w:tcPr>
            <w:tcW w:w="2430" w:type="dxa"/>
            <w:hideMark/>
          </w:tcPr>
          <w:p w14:paraId="582B3A14" w14:textId="77777777" w:rsidR="00040104" w:rsidRPr="00F82998" w:rsidRDefault="00040104"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concept</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p>
        </w:tc>
      </w:tr>
      <w:tr w:rsidR="00982030" w:rsidRPr="00F82998" w14:paraId="09AC9E76" w14:textId="77777777" w:rsidTr="004C04AF">
        <w:trPr>
          <w:trHeight w:val="680"/>
        </w:trPr>
        <w:tc>
          <w:tcPr>
            <w:tcW w:w="2155" w:type="dxa"/>
            <w:noWrap/>
            <w:hideMark/>
          </w:tcPr>
          <w:p w14:paraId="4255924D" w14:textId="27A04946" w:rsidR="00982030" w:rsidRPr="005C1FCA" w:rsidRDefault="00982030" w:rsidP="00BB6553">
            <w:pPr>
              <w:rPr>
                <w:rFonts w:ascii="Calibri" w:eastAsia="Times New Roman" w:hAnsi="Calibri" w:cs="Calibri"/>
                <w:color w:val="000000"/>
                <w:kern w:val="0"/>
                <w:sz w:val="16"/>
                <w:szCs w:val="16"/>
                <w:lang w:val="en-AU" w:eastAsia="en-GB"/>
                <w14:ligatures w14:val="none"/>
              </w:rPr>
            </w:pPr>
            <w:proofErr w:type="spellStart"/>
            <w:r w:rsidRPr="005C1FCA">
              <w:rPr>
                <w:rFonts w:ascii="Calibri" w:eastAsia="Times New Roman" w:hAnsi="Calibri" w:cs="Calibri"/>
                <w:color w:val="000000"/>
                <w:kern w:val="0"/>
                <w:sz w:val="16"/>
                <w:szCs w:val="16"/>
                <w:lang w:val="en-AU" w:eastAsia="en-GB"/>
                <w14:ligatures w14:val="none"/>
              </w:rPr>
              <w:t>Neitzel</w:t>
            </w:r>
            <w:proofErr w:type="spellEnd"/>
            <w:r w:rsidR="00100DFA" w:rsidRPr="005C1FCA">
              <w:rPr>
                <w:rFonts w:ascii="Calibri" w:eastAsia="Times New Roman" w:hAnsi="Calibri" w:cs="Calibri"/>
                <w:color w:val="000000"/>
                <w:kern w:val="0"/>
                <w:sz w:val="16"/>
                <w:szCs w:val="16"/>
                <w:lang w:val="en-AU" w:eastAsia="en-GB"/>
                <w14:ligatures w14:val="none"/>
              </w:rPr>
              <w:t xml:space="preserve"> (</w:t>
            </w:r>
            <w:r w:rsidRPr="005C1FCA">
              <w:rPr>
                <w:rFonts w:ascii="Calibri" w:eastAsia="Times New Roman" w:hAnsi="Calibri" w:cs="Calibri"/>
                <w:color w:val="000000"/>
                <w:kern w:val="0"/>
                <w:sz w:val="16"/>
                <w:szCs w:val="16"/>
                <w:lang w:val="en-AU" w:eastAsia="en-GB"/>
                <w14:ligatures w14:val="none"/>
              </w:rPr>
              <w:t>2018</w:t>
            </w:r>
            <w:r w:rsidR="00100DFA" w:rsidRPr="005C1FCA">
              <w:rPr>
                <w:rFonts w:ascii="Calibri" w:eastAsia="Times New Roman" w:hAnsi="Calibri" w:cs="Calibri"/>
                <w:color w:val="000000"/>
                <w:kern w:val="0"/>
                <w:sz w:val="16"/>
                <w:szCs w:val="16"/>
                <w:lang w:val="en-AU" w:eastAsia="en-GB"/>
                <w14:ligatures w14:val="none"/>
              </w:rPr>
              <w:t>)</w:t>
            </w:r>
            <w:r w:rsidRPr="005C1FCA">
              <w:rPr>
                <w:rFonts w:ascii="Calibri" w:eastAsia="Times New Roman" w:hAnsi="Calibri" w:cs="Calibri"/>
                <w:color w:val="000000"/>
                <w:kern w:val="0"/>
                <w:sz w:val="16"/>
                <w:szCs w:val="16"/>
                <w:lang w:val="en-AU" w:eastAsia="en-GB"/>
                <w14:ligatures w14:val="none"/>
              </w:rPr>
              <w:t xml:space="preserve"> </w:t>
            </w:r>
            <w:r w:rsidR="005C1FCA">
              <w:rPr>
                <w:rFonts w:ascii="Calibri" w:eastAsia="Times New Roman" w:hAnsi="Calibri" w:cs="Calibri"/>
                <w:noProof/>
                <w:color w:val="000000"/>
                <w:kern w:val="0"/>
                <w:sz w:val="16"/>
                <w:szCs w:val="16"/>
                <w:lang w:val="en-AU" w:eastAsia="en-GB"/>
                <w14:ligatures w14:val="none"/>
              </w:rPr>
              <w:t>[50]</w:t>
            </w:r>
          </w:p>
        </w:tc>
        <w:tc>
          <w:tcPr>
            <w:tcW w:w="4500" w:type="dxa"/>
          </w:tcPr>
          <w:p w14:paraId="46D22B41" w14:textId="39ED6EE6" w:rsidR="00982030" w:rsidRPr="005C1FCA" w:rsidRDefault="00100DFA" w:rsidP="00BB6553">
            <w:pPr>
              <w:rPr>
                <w:rFonts w:ascii="Calibri" w:eastAsia="Times New Roman" w:hAnsi="Calibri" w:cs="Calibri"/>
                <w:color w:val="000000"/>
                <w:kern w:val="0"/>
                <w:sz w:val="16"/>
                <w:szCs w:val="16"/>
                <w:lang w:val="en-AU" w:eastAsia="en-GB"/>
                <w14:ligatures w14:val="none"/>
              </w:rPr>
            </w:pPr>
            <w:r w:rsidRPr="005C1FCA">
              <w:rPr>
                <w:rFonts w:ascii="Calibri" w:eastAsia="Times New Roman" w:hAnsi="Calibri" w:cs="Calibri"/>
                <w:color w:val="000000"/>
                <w:kern w:val="0"/>
                <w:sz w:val="16"/>
                <w:szCs w:val="16"/>
                <w:lang w:val="en-AU" w:eastAsia="en-GB"/>
                <w14:ligatures w14:val="none"/>
              </w:rPr>
              <w:t>Research to practice: Understanding the role of implicit bias in early childhood disciplinary practices</w:t>
            </w:r>
          </w:p>
        </w:tc>
        <w:tc>
          <w:tcPr>
            <w:tcW w:w="2430" w:type="dxa"/>
            <w:hideMark/>
          </w:tcPr>
          <w:p w14:paraId="436B6273" w14:textId="1BCDF239" w:rsidR="00982030" w:rsidRPr="00F82998" w:rsidRDefault="00982030"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Incorrect context</w:t>
            </w:r>
          </w:p>
        </w:tc>
      </w:tr>
      <w:tr w:rsidR="004E3C0A" w:rsidRPr="00F82998" w14:paraId="579C7553" w14:textId="77777777" w:rsidTr="004C04AF">
        <w:trPr>
          <w:trHeight w:val="680"/>
        </w:trPr>
        <w:tc>
          <w:tcPr>
            <w:tcW w:w="2155" w:type="dxa"/>
            <w:noWrap/>
            <w:hideMark/>
          </w:tcPr>
          <w:p w14:paraId="52F56958" w14:textId="51E12442"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DD5596">
              <w:rPr>
                <w:rFonts w:ascii="Calibri" w:eastAsia="Times New Roman" w:hAnsi="Calibri" w:cs="Calibri"/>
                <w:color w:val="000000"/>
                <w:kern w:val="0"/>
                <w:sz w:val="16"/>
                <w:szCs w:val="16"/>
                <w:lang w:val="en-AU" w:eastAsia="en-GB"/>
                <w14:ligatures w14:val="none"/>
              </w:rPr>
              <w:t>Bhatti</w:t>
            </w:r>
            <w:r>
              <w:rPr>
                <w:rFonts w:ascii="Calibri" w:eastAsia="Times New Roman" w:hAnsi="Calibri" w:cs="Calibri"/>
                <w:color w:val="000000"/>
                <w:kern w:val="0"/>
                <w:sz w:val="16"/>
                <w:szCs w:val="16"/>
                <w:lang w:val="en-AU" w:eastAsia="en-GB"/>
                <w14:ligatures w14:val="none"/>
              </w:rPr>
              <w:t xml:space="preserve"> (</w:t>
            </w:r>
            <w:r w:rsidRPr="00DD5596">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DD5596">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[51]</w:t>
            </w:r>
          </w:p>
        </w:tc>
        <w:tc>
          <w:tcPr>
            <w:tcW w:w="4500" w:type="dxa"/>
          </w:tcPr>
          <w:p w14:paraId="2BD73507"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DD5596">
              <w:rPr>
                <w:rFonts w:ascii="Calibri" w:eastAsia="Times New Roman" w:hAnsi="Calibri" w:cs="Calibri"/>
                <w:color w:val="000000"/>
                <w:kern w:val="0"/>
                <w:sz w:val="16"/>
                <w:szCs w:val="16"/>
                <w:lang w:val="en-AU" w:eastAsia="en-GB"/>
                <w14:ligatures w14:val="none"/>
              </w:rPr>
              <w:t>Cognitive bias in clinical practice</w:t>
            </w:r>
            <w:r>
              <w:rPr>
                <w:rFonts w:ascii="Calibri" w:eastAsia="Times New Roman" w:hAnsi="Calibri" w:cs="Calibri"/>
                <w:color w:val="000000"/>
                <w:kern w:val="0"/>
                <w:sz w:val="16"/>
                <w:szCs w:val="16"/>
                <w:lang w:val="en-AU" w:eastAsia="en-GB"/>
                <w14:ligatures w14:val="none"/>
              </w:rPr>
              <w:t xml:space="preserve"> - </w:t>
            </w:r>
            <w:r w:rsidRPr="00DD5596">
              <w:rPr>
                <w:rFonts w:ascii="Calibri" w:eastAsia="Times New Roman" w:hAnsi="Calibri" w:cs="Calibri"/>
                <w:color w:val="000000"/>
                <w:kern w:val="0"/>
                <w:sz w:val="16"/>
                <w:szCs w:val="16"/>
                <w:lang w:val="en-AU" w:eastAsia="en-GB"/>
                <w14:ligatures w14:val="none"/>
              </w:rPr>
              <w:t xml:space="preserve">nurturing healthy </w:t>
            </w:r>
            <w:proofErr w:type="spellStart"/>
            <w:r w:rsidRPr="00DD5596">
              <w:rPr>
                <w:rFonts w:ascii="Calibri" w:eastAsia="Times New Roman" w:hAnsi="Calibri" w:cs="Calibri"/>
                <w:color w:val="000000"/>
                <w:kern w:val="0"/>
                <w:sz w:val="16"/>
                <w:szCs w:val="16"/>
                <w:lang w:val="en-AU" w:eastAsia="en-GB"/>
                <w14:ligatures w14:val="none"/>
              </w:rPr>
              <w:t>skepticism</w:t>
            </w:r>
            <w:proofErr w:type="spellEnd"/>
            <w:r w:rsidRPr="00DD5596">
              <w:rPr>
                <w:rFonts w:ascii="Calibri" w:eastAsia="Times New Roman" w:hAnsi="Calibri" w:cs="Calibri"/>
                <w:color w:val="000000"/>
                <w:kern w:val="0"/>
                <w:sz w:val="16"/>
                <w:szCs w:val="16"/>
                <w:lang w:val="en-AU" w:eastAsia="en-GB"/>
                <w14:ligatures w14:val="none"/>
              </w:rPr>
              <w:t xml:space="preserve"> among medical students</w:t>
            </w:r>
          </w:p>
        </w:tc>
        <w:tc>
          <w:tcPr>
            <w:tcW w:w="2430" w:type="dxa"/>
            <w:hideMark/>
          </w:tcPr>
          <w:p w14:paraId="7A1A222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77241747" w14:textId="77777777" w:rsidTr="00417381">
        <w:trPr>
          <w:trHeight w:val="728"/>
        </w:trPr>
        <w:tc>
          <w:tcPr>
            <w:tcW w:w="2155" w:type="dxa"/>
            <w:noWrap/>
            <w:hideMark/>
          </w:tcPr>
          <w:p w14:paraId="284DDE79" w14:textId="2F23D89E"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Boscardin</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[52]</w:t>
            </w:r>
          </w:p>
        </w:tc>
        <w:tc>
          <w:tcPr>
            <w:tcW w:w="4500" w:type="dxa"/>
          </w:tcPr>
          <w:p w14:paraId="4E5CA25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Reducing implicit bias through curricular interventions</w:t>
            </w:r>
          </w:p>
        </w:tc>
        <w:tc>
          <w:tcPr>
            <w:tcW w:w="2430" w:type="dxa"/>
            <w:hideMark/>
          </w:tcPr>
          <w:p w14:paraId="52CBFFE0"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1284025" w14:textId="77777777" w:rsidTr="004C04AF">
        <w:trPr>
          <w:trHeight w:val="680"/>
        </w:trPr>
        <w:tc>
          <w:tcPr>
            <w:tcW w:w="2155" w:type="dxa"/>
            <w:noWrap/>
            <w:hideMark/>
          </w:tcPr>
          <w:p w14:paraId="3E9DF601" w14:textId="1FCE8874"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Bou</w:t>
            </w:r>
            <w:proofErr w:type="spellEnd"/>
            <w:r w:rsidRPr="00F82998">
              <w:rPr>
                <w:rFonts w:ascii="Calibri" w:eastAsia="Times New Roman" w:hAnsi="Calibri" w:cs="Calibri"/>
                <w:color w:val="000000"/>
                <w:kern w:val="0"/>
                <w:sz w:val="16"/>
                <w:szCs w:val="16"/>
                <w:lang w:val="en-AU" w:eastAsia="en-GB"/>
                <w14:ligatures w14:val="none"/>
              </w:rPr>
              <w:t xml:space="preserve"> Khalil</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[53]</w:t>
            </w:r>
          </w:p>
        </w:tc>
        <w:tc>
          <w:tcPr>
            <w:tcW w:w="4500" w:type="dxa"/>
          </w:tcPr>
          <w:p w14:paraId="4CF35DE7"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the use of framing and decontextualization to address context-based bias in psychiatry</w:t>
            </w:r>
          </w:p>
        </w:tc>
        <w:tc>
          <w:tcPr>
            <w:tcW w:w="2430" w:type="dxa"/>
            <w:hideMark/>
          </w:tcPr>
          <w:p w14:paraId="2F664315"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628BA2BB" w14:textId="77777777" w:rsidTr="004C04AF">
        <w:trPr>
          <w:trHeight w:val="340"/>
        </w:trPr>
        <w:tc>
          <w:tcPr>
            <w:tcW w:w="2155" w:type="dxa"/>
            <w:noWrap/>
            <w:hideMark/>
          </w:tcPr>
          <w:p w14:paraId="003171CF" w14:textId="5767E315"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Boysen</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[54]</w:t>
            </w:r>
          </w:p>
        </w:tc>
        <w:tc>
          <w:tcPr>
            <w:tcW w:w="4500" w:type="dxa"/>
          </w:tcPr>
          <w:p w14:paraId="03E7C5AE"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Integrating implicit bias into </w:t>
            </w:r>
            <w:proofErr w:type="spellStart"/>
            <w:r w:rsidRPr="00F82998">
              <w:rPr>
                <w:rFonts w:ascii="Calibri" w:eastAsia="Times New Roman" w:hAnsi="Calibri" w:cs="Calibri"/>
                <w:color w:val="000000"/>
                <w:kern w:val="0"/>
                <w:sz w:val="16"/>
                <w:szCs w:val="16"/>
                <w:lang w:val="en-AU" w:eastAsia="en-GB"/>
                <w14:ligatures w14:val="none"/>
              </w:rPr>
              <w:t>counselor</w:t>
            </w:r>
            <w:proofErr w:type="spellEnd"/>
            <w:r w:rsidRPr="00F82998">
              <w:rPr>
                <w:rFonts w:ascii="Calibri" w:eastAsia="Times New Roman" w:hAnsi="Calibri" w:cs="Calibri"/>
                <w:color w:val="000000"/>
                <w:kern w:val="0"/>
                <w:sz w:val="16"/>
                <w:szCs w:val="16"/>
                <w:lang w:val="en-AU" w:eastAsia="en-GB"/>
                <w14:ligatures w14:val="none"/>
              </w:rPr>
              <w:t xml:space="preserve"> education</w:t>
            </w:r>
          </w:p>
        </w:tc>
        <w:tc>
          <w:tcPr>
            <w:tcW w:w="2430" w:type="dxa"/>
            <w:hideMark/>
          </w:tcPr>
          <w:p w14:paraId="6D975B04"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022659D" w14:textId="77777777" w:rsidTr="004C04AF">
        <w:trPr>
          <w:trHeight w:val="680"/>
        </w:trPr>
        <w:tc>
          <w:tcPr>
            <w:tcW w:w="2155" w:type="dxa"/>
            <w:noWrap/>
            <w:hideMark/>
          </w:tcPr>
          <w:p w14:paraId="21EEC311" w14:textId="006965D7"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Buchs</w:t>
            </w:r>
            <w:proofErr w:type="spellEnd"/>
            <w:r>
              <w:rPr>
                <w:rFonts w:ascii="Calibri" w:eastAsia="Times New Roman" w:hAnsi="Calibri" w:cs="Calibri"/>
                <w:color w:val="000000"/>
                <w:kern w:val="0"/>
                <w:sz w:val="16"/>
                <w:szCs w:val="16"/>
                <w:lang w:val="en-AU" w:eastAsia="en-GB"/>
                <w14:ligatures w14:val="none"/>
              </w:rPr>
              <w:t xml:space="preserve"> &amp; </w:t>
            </w:r>
            <w:proofErr w:type="spellStart"/>
            <w:r w:rsidRPr="00F82998">
              <w:rPr>
                <w:rFonts w:ascii="Calibri" w:eastAsia="Times New Roman" w:hAnsi="Calibri" w:cs="Calibri"/>
                <w:color w:val="000000"/>
                <w:kern w:val="0"/>
                <w:sz w:val="16"/>
                <w:szCs w:val="16"/>
                <w:lang w:val="en-AU" w:eastAsia="en-GB"/>
                <w14:ligatures w14:val="none"/>
              </w:rPr>
              <w:t>Mulitalo</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[55]</w:t>
            </w:r>
          </w:p>
        </w:tc>
        <w:tc>
          <w:tcPr>
            <w:tcW w:w="4500" w:type="dxa"/>
          </w:tcPr>
          <w:p w14:paraId="5FBE2290"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bias: An opportunity for physician assistants to mindfully reduce health care disparities</w:t>
            </w:r>
          </w:p>
        </w:tc>
        <w:tc>
          <w:tcPr>
            <w:tcW w:w="2430" w:type="dxa"/>
            <w:hideMark/>
          </w:tcPr>
          <w:p w14:paraId="1C40E1C8"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44992E48" w14:textId="77777777" w:rsidTr="004C04AF">
        <w:trPr>
          <w:trHeight w:val="680"/>
        </w:trPr>
        <w:tc>
          <w:tcPr>
            <w:tcW w:w="2155" w:type="dxa"/>
            <w:noWrap/>
            <w:hideMark/>
          </w:tcPr>
          <w:p w14:paraId="42A0F51A" w14:textId="1FA574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Burgess</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2017</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[56]</w:t>
            </w:r>
          </w:p>
        </w:tc>
        <w:tc>
          <w:tcPr>
            <w:tcW w:w="4500" w:type="dxa"/>
          </w:tcPr>
          <w:p w14:paraId="33E7C1B6"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Mindfulness practice: A promising approach to reducing the effects of clinician implicit bias on patients</w:t>
            </w:r>
          </w:p>
        </w:tc>
        <w:tc>
          <w:tcPr>
            <w:tcW w:w="2430" w:type="dxa"/>
            <w:hideMark/>
          </w:tcPr>
          <w:p w14:paraId="5CFF2E1E"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AD99059" w14:textId="77777777" w:rsidTr="004C04AF">
        <w:trPr>
          <w:trHeight w:val="680"/>
        </w:trPr>
        <w:tc>
          <w:tcPr>
            <w:tcW w:w="2155" w:type="dxa"/>
            <w:noWrap/>
            <w:hideMark/>
          </w:tcPr>
          <w:p w14:paraId="439163E3" w14:textId="09DBA358"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lastRenderedPageBreak/>
              <w:t>Byrne</w:t>
            </w:r>
            <w:r>
              <w:rPr>
                <w:rFonts w:ascii="Calibri" w:eastAsia="Times New Roman" w:hAnsi="Calibri" w:cs="Calibri"/>
                <w:color w:val="000000"/>
                <w:kern w:val="0"/>
                <w:sz w:val="16"/>
                <w:szCs w:val="16"/>
                <w:lang w:val="en-AU" w:eastAsia="en-GB"/>
                <w14:ligatures w14:val="none"/>
              </w:rPr>
              <w:t xml:space="preserve"> &amp; </w:t>
            </w:r>
            <w:proofErr w:type="spellStart"/>
            <w:r w:rsidRPr="00F82998">
              <w:rPr>
                <w:rFonts w:ascii="Calibri" w:eastAsia="Times New Roman" w:hAnsi="Calibri" w:cs="Calibri"/>
                <w:color w:val="000000"/>
                <w:kern w:val="0"/>
                <w:sz w:val="16"/>
                <w:szCs w:val="16"/>
                <w:lang w:val="en-AU" w:eastAsia="en-GB"/>
                <w14:ligatures w14:val="none"/>
              </w:rPr>
              <w:t>Tanesini</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[57]</w:t>
            </w:r>
          </w:p>
        </w:tc>
        <w:tc>
          <w:tcPr>
            <w:tcW w:w="4500" w:type="dxa"/>
          </w:tcPr>
          <w:p w14:paraId="3BB1CC3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Instilling new habits: addressing implicit bias in healthcare professionals</w:t>
            </w:r>
          </w:p>
        </w:tc>
        <w:tc>
          <w:tcPr>
            <w:tcW w:w="2430" w:type="dxa"/>
            <w:hideMark/>
          </w:tcPr>
          <w:p w14:paraId="2EF512A8"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4A376A2C" w14:textId="77777777" w:rsidTr="004C04AF">
        <w:trPr>
          <w:trHeight w:val="680"/>
        </w:trPr>
        <w:tc>
          <w:tcPr>
            <w:tcW w:w="2155" w:type="dxa"/>
            <w:noWrap/>
            <w:hideMark/>
          </w:tcPr>
          <w:p w14:paraId="57836D96" w14:textId="4AC272F3"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Chapman</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2013</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[58]</w:t>
            </w:r>
          </w:p>
        </w:tc>
        <w:tc>
          <w:tcPr>
            <w:tcW w:w="4500" w:type="dxa"/>
          </w:tcPr>
          <w:p w14:paraId="681009BA"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Physicians and implicit bias: how doctors may unwittingly perpetuate health care disparities</w:t>
            </w:r>
          </w:p>
        </w:tc>
        <w:tc>
          <w:tcPr>
            <w:tcW w:w="2430" w:type="dxa"/>
            <w:hideMark/>
          </w:tcPr>
          <w:p w14:paraId="4A521689"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717C017" w14:textId="77777777" w:rsidTr="004C04AF">
        <w:trPr>
          <w:trHeight w:val="680"/>
        </w:trPr>
        <w:tc>
          <w:tcPr>
            <w:tcW w:w="2155" w:type="dxa"/>
            <w:noWrap/>
            <w:hideMark/>
          </w:tcPr>
          <w:p w14:paraId="4AF1031C" w14:textId="1D9C274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Cooke</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2017</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[59]</w:t>
            </w:r>
          </w:p>
        </w:tc>
        <w:tc>
          <w:tcPr>
            <w:tcW w:w="4500" w:type="dxa"/>
          </w:tcPr>
          <w:p w14:paraId="1B111CF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bias in academic medicine:</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#WhatADoctorLooksLike</w:t>
            </w:r>
          </w:p>
        </w:tc>
        <w:tc>
          <w:tcPr>
            <w:tcW w:w="2430" w:type="dxa"/>
            <w:hideMark/>
          </w:tcPr>
          <w:p w14:paraId="7A90263C"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5FF01707" w14:textId="77777777" w:rsidTr="004C04AF">
        <w:trPr>
          <w:trHeight w:val="680"/>
        </w:trPr>
        <w:tc>
          <w:tcPr>
            <w:tcW w:w="2155" w:type="dxa"/>
            <w:noWrap/>
            <w:hideMark/>
          </w:tcPr>
          <w:p w14:paraId="3530E23C" w14:textId="4A7C1E7D"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Crandlemire</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[60]</w:t>
            </w:r>
          </w:p>
        </w:tc>
        <w:tc>
          <w:tcPr>
            <w:tcW w:w="4500" w:type="dxa"/>
          </w:tcPr>
          <w:p w14:paraId="2F63F44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Unconscious bias and the impacts on caring: The role of the clinical nursing instructor</w:t>
            </w:r>
          </w:p>
        </w:tc>
        <w:tc>
          <w:tcPr>
            <w:tcW w:w="2430" w:type="dxa"/>
            <w:hideMark/>
          </w:tcPr>
          <w:p w14:paraId="289E675D" w14:textId="77777777" w:rsidR="004E3C0A" w:rsidRPr="001C65FE" w:rsidRDefault="004E3C0A" w:rsidP="00BB6553">
            <w:pPr>
              <w:rPr>
                <w:rFonts w:ascii="Calibri" w:eastAsia="Times New Roman" w:hAnsi="Calibri" w:cs="Calibri"/>
                <w:color w:val="000000"/>
                <w:kern w:val="0"/>
                <w:sz w:val="16"/>
                <w:szCs w:val="16"/>
                <w:highlight w:val="yellow"/>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426F5692" w14:textId="77777777" w:rsidTr="004C04AF">
        <w:trPr>
          <w:trHeight w:val="680"/>
        </w:trPr>
        <w:tc>
          <w:tcPr>
            <w:tcW w:w="2155" w:type="dxa"/>
            <w:noWrap/>
            <w:hideMark/>
          </w:tcPr>
          <w:p w14:paraId="18B042E2" w14:textId="23500E8E"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Fallin</w:t>
            </w:r>
            <w:proofErr w:type="spellEnd"/>
            <w:r w:rsidRPr="00F82998">
              <w:rPr>
                <w:rFonts w:ascii="Calibri" w:eastAsia="Times New Roman" w:hAnsi="Calibri" w:cs="Calibri"/>
                <w:color w:val="000000"/>
                <w:kern w:val="0"/>
                <w:sz w:val="16"/>
                <w:szCs w:val="16"/>
                <w:lang w:val="en-AU" w:eastAsia="en-GB"/>
                <w14:ligatures w14:val="none"/>
              </w:rPr>
              <w:t>-Bennett</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2015</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[61]</w:t>
            </w:r>
          </w:p>
        </w:tc>
        <w:tc>
          <w:tcPr>
            <w:tcW w:w="4500" w:type="dxa"/>
          </w:tcPr>
          <w:p w14:paraId="3D029BB0"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bias against sexual minorities in medicine: cycles of professional influence and the role of the hidden curriculum</w:t>
            </w:r>
          </w:p>
        </w:tc>
        <w:tc>
          <w:tcPr>
            <w:tcW w:w="2430" w:type="dxa"/>
            <w:hideMark/>
          </w:tcPr>
          <w:p w14:paraId="281B82A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4CC4AE9" w14:textId="77777777" w:rsidTr="004C04AF">
        <w:trPr>
          <w:trHeight w:val="680"/>
        </w:trPr>
        <w:tc>
          <w:tcPr>
            <w:tcW w:w="2155" w:type="dxa"/>
            <w:noWrap/>
            <w:hideMark/>
          </w:tcPr>
          <w:p w14:paraId="4458F116" w14:textId="39267460"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Griffith</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[62]</w:t>
            </w:r>
          </w:p>
        </w:tc>
        <w:tc>
          <w:tcPr>
            <w:tcW w:w="4500" w:type="dxa"/>
          </w:tcPr>
          <w:p w14:paraId="2325AED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Education initiatives in cognitive debiasing to improve diagnostic accuracy in student providers: A scoping review</w:t>
            </w:r>
          </w:p>
        </w:tc>
        <w:tc>
          <w:tcPr>
            <w:tcW w:w="2430" w:type="dxa"/>
            <w:hideMark/>
          </w:tcPr>
          <w:p w14:paraId="77B20DE7"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652BC6DC" w14:textId="77777777" w:rsidTr="004C04AF">
        <w:trPr>
          <w:trHeight w:val="680"/>
        </w:trPr>
        <w:tc>
          <w:tcPr>
            <w:tcW w:w="2155" w:type="dxa"/>
            <w:noWrap/>
            <w:hideMark/>
          </w:tcPr>
          <w:p w14:paraId="2C628704" w14:textId="4BADB6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Hagiwara</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[63]</w:t>
            </w:r>
          </w:p>
        </w:tc>
        <w:tc>
          <w:tcPr>
            <w:tcW w:w="4500" w:type="dxa"/>
          </w:tcPr>
          <w:p w14:paraId="5AE26B09"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call for grounding implicit bias training in clinical and translational frameworks</w:t>
            </w:r>
          </w:p>
        </w:tc>
        <w:tc>
          <w:tcPr>
            <w:tcW w:w="2430" w:type="dxa"/>
            <w:hideMark/>
          </w:tcPr>
          <w:p w14:paraId="3B311628"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63B065DF" w14:textId="77777777" w:rsidTr="004C04AF">
        <w:trPr>
          <w:trHeight w:val="1020"/>
        </w:trPr>
        <w:tc>
          <w:tcPr>
            <w:tcW w:w="2155" w:type="dxa"/>
            <w:noWrap/>
            <w:hideMark/>
          </w:tcPr>
          <w:p w14:paraId="5B78C6F4" w14:textId="78FF310D"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Mayfield</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2017</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[64]</w:t>
            </w:r>
          </w:p>
        </w:tc>
        <w:tc>
          <w:tcPr>
            <w:tcW w:w="4500" w:type="dxa"/>
          </w:tcPr>
          <w:p w14:paraId="43756119"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Beyond men, women, or both: a comprehensive, LGBTQ-inclusive, implicit-bias-aware, standardized-patient-based sexual history taking curriculum</w:t>
            </w:r>
          </w:p>
        </w:tc>
        <w:tc>
          <w:tcPr>
            <w:tcW w:w="2430" w:type="dxa"/>
            <w:hideMark/>
          </w:tcPr>
          <w:p w14:paraId="091AC97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6065F97B" w14:textId="77777777" w:rsidTr="004C04AF">
        <w:trPr>
          <w:trHeight w:val="340"/>
        </w:trPr>
        <w:tc>
          <w:tcPr>
            <w:tcW w:w="2155" w:type="dxa"/>
            <w:noWrap/>
            <w:hideMark/>
          </w:tcPr>
          <w:p w14:paraId="01411553" w14:textId="7C9CED05"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Mishra</w:t>
            </w:r>
            <w:r>
              <w:rPr>
                <w:rFonts w:ascii="Calibri" w:eastAsia="Times New Roman" w:hAnsi="Calibri" w:cs="Calibri"/>
                <w:color w:val="000000"/>
                <w:kern w:val="0"/>
                <w:sz w:val="16"/>
                <w:szCs w:val="16"/>
                <w:lang w:val="en-AU" w:eastAsia="en-GB"/>
                <w14:ligatures w14:val="none"/>
              </w:rPr>
              <w:t xml:space="preserve"> et al. (2017) </w:t>
            </w:r>
            <w:r>
              <w:rPr>
                <w:rFonts w:ascii="Calibri" w:eastAsia="Times New Roman" w:hAnsi="Calibri" w:cs="Calibri"/>
                <w:noProof/>
                <w:color w:val="000000"/>
                <w:kern w:val="0"/>
                <w:sz w:val="16"/>
                <w:szCs w:val="16"/>
                <w:lang w:val="en-AU" w:eastAsia="en-GB"/>
                <w14:ligatures w14:val="none"/>
              </w:rPr>
              <w:t>[65]</w:t>
            </w:r>
          </w:p>
        </w:tc>
        <w:tc>
          <w:tcPr>
            <w:tcW w:w="4500" w:type="dxa"/>
          </w:tcPr>
          <w:p w14:paraId="38DBC78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Teaching for Reducing Diagnostic Errors</w:t>
            </w:r>
          </w:p>
        </w:tc>
        <w:tc>
          <w:tcPr>
            <w:tcW w:w="2430" w:type="dxa"/>
            <w:hideMark/>
          </w:tcPr>
          <w:p w14:paraId="6283411E"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72FB0972" w14:textId="77777777" w:rsidTr="004C04AF">
        <w:trPr>
          <w:trHeight w:val="1020"/>
        </w:trPr>
        <w:tc>
          <w:tcPr>
            <w:tcW w:w="2155" w:type="dxa"/>
            <w:noWrap/>
            <w:hideMark/>
          </w:tcPr>
          <w:p w14:paraId="4320DEDE" w14:textId="0005F7C5"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Morris</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[66]</w:t>
            </w:r>
          </w:p>
        </w:tc>
        <w:tc>
          <w:tcPr>
            <w:tcW w:w="4500" w:type="dxa"/>
          </w:tcPr>
          <w:p w14:paraId="5F12B5C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Training to reduce LGBTQ-related bias among medical, nursing, and dental students and providers: a systematic review</w:t>
            </w:r>
          </w:p>
        </w:tc>
        <w:tc>
          <w:tcPr>
            <w:tcW w:w="2430" w:type="dxa"/>
            <w:hideMark/>
          </w:tcPr>
          <w:p w14:paraId="6BD55A6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1AEE6446" w14:textId="77777777" w:rsidTr="009E7842">
        <w:trPr>
          <w:trHeight w:val="755"/>
        </w:trPr>
        <w:tc>
          <w:tcPr>
            <w:tcW w:w="2155" w:type="dxa"/>
            <w:noWrap/>
            <w:hideMark/>
          </w:tcPr>
          <w:p w14:paraId="23A65260" w14:textId="6C1CEC7B"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Plews-Ogan</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[67]</w:t>
            </w:r>
            <w:r w:rsidRPr="00F82998">
              <w:rPr>
                <w:rFonts w:ascii="Calibri" w:eastAsia="Times New Roman" w:hAnsi="Calibri" w:cs="Calibri"/>
                <w:color w:val="000000"/>
                <w:kern w:val="0"/>
                <w:sz w:val="16"/>
                <w:szCs w:val="16"/>
                <w:lang w:val="en-AU" w:eastAsia="en-GB"/>
                <w14:ligatures w14:val="none"/>
              </w:rPr>
              <w:t xml:space="preserve"> </w:t>
            </w:r>
          </w:p>
        </w:tc>
        <w:tc>
          <w:tcPr>
            <w:tcW w:w="4500" w:type="dxa"/>
          </w:tcPr>
          <w:p w14:paraId="3EB2FF5F"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Acting Wisely: Eliminating Negative Bias in Medical Education-Part 2: How Can We Do Better?</w:t>
            </w:r>
          </w:p>
        </w:tc>
        <w:tc>
          <w:tcPr>
            <w:tcW w:w="2430" w:type="dxa"/>
            <w:hideMark/>
          </w:tcPr>
          <w:p w14:paraId="73FBB8D3"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7731212E" w14:textId="77777777" w:rsidTr="004C04AF">
        <w:trPr>
          <w:trHeight w:val="680"/>
        </w:trPr>
        <w:tc>
          <w:tcPr>
            <w:tcW w:w="2155" w:type="dxa"/>
            <w:noWrap/>
            <w:hideMark/>
          </w:tcPr>
          <w:p w14:paraId="4689A161" w14:textId="4A1EF38E"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Sellier</w:t>
            </w:r>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2019</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[68]</w:t>
            </w:r>
          </w:p>
        </w:tc>
        <w:tc>
          <w:tcPr>
            <w:tcW w:w="4500" w:type="dxa"/>
          </w:tcPr>
          <w:p w14:paraId="2900D8D0"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Debiasing training improves decision making in the field</w:t>
            </w:r>
          </w:p>
        </w:tc>
        <w:tc>
          <w:tcPr>
            <w:tcW w:w="2430" w:type="dxa"/>
            <w:hideMark/>
          </w:tcPr>
          <w:p w14:paraId="208A5D7C"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8C6C51C" w14:textId="77777777" w:rsidTr="004C04AF">
        <w:trPr>
          <w:trHeight w:val="680"/>
        </w:trPr>
        <w:tc>
          <w:tcPr>
            <w:tcW w:w="2155" w:type="dxa"/>
            <w:noWrap/>
            <w:hideMark/>
          </w:tcPr>
          <w:p w14:paraId="32D2D853" w14:textId="60C79865"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Sellier</w:t>
            </w:r>
            <w:r>
              <w:rPr>
                <w:rFonts w:ascii="Calibri" w:eastAsia="Times New Roman" w:hAnsi="Calibri" w:cs="Calibri"/>
                <w:color w:val="000000"/>
                <w:kern w:val="0"/>
                <w:sz w:val="16"/>
                <w:szCs w:val="16"/>
                <w:lang w:val="en-AU" w:eastAsia="en-GB"/>
                <w14:ligatures w14:val="none"/>
              </w:rPr>
              <w:t xml:space="preserve"> et al. (2020) </w:t>
            </w:r>
            <w:r>
              <w:rPr>
                <w:rFonts w:ascii="Calibri" w:eastAsia="Times New Roman" w:hAnsi="Calibri" w:cs="Calibri"/>
                <w:noProof/>
                <w:color w:val="000000"/>
                <w:kern w:val="0"/>
                <w:sz w:val="16"/>
                <w:szCs w:val="16"/>
                <w:lang w:val="en-AU" w:eastAsia="en-GB"/>
                <w14:ligatures w14:val="none"/>
              </w:rPr>
              <w:t>[69]</w:t>
            </w:r>
          </w:p>
        </w:tc>
        <w:tc>
          <w:tcPr>
            <w:tcW w:w="4500" w:type="dxa"/>
          </w:tcPr>
          <w:p w14:paraId="5DC1B04F"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"Debiasing training improves decision making in the field": Corrigendum</w:t>
            </w:r>
          </w:p>
        </w:tc>
        <w:tc>
          <w:tcPr>
            <w:tcW w:w="2430" w:type="dxa"/>
            <w:hideMark/>
          </w:tcPr>
          <w:p w14:paraId="6A959D77"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7B323598" w14:textId="77777777" w:rsidTr="004C04AF">
        <w:trPr>
          <w:trHeight w:val="340"/>
        </w:trPr>
        <w:tc>
          <w:tcPr>
            <w:tcW w:w="2155" w:type="dxa"/>
            <w:noWrap/>
            <w:hideMark/>
          </w:tcPr>
          <w:p w14:paraId="4C8485B5" w14:textId="5B76F904"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Staats</w:t>
            </w:r>
            <w:proofErr w:type="spellEnd"/>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[70]</w:t>
            </w:r>
          </w:p>
        </w:tc>
        <w:tc>
          <w:tcPr>
            <w:tcW w:w="4500" w:type="dxa"/>
          </w:tcPr>
          <w:p w14:paraId="130A55FC"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Understanding implicit bias: What educators should know</w:t>
            </w:r>
          </w:p>
        </w:tc>
        <w:tc>
          <w:tcPr>
            <w:tcW w:w="2430" w:type="dxa"/>
            <w:hideMark/>
          </w:tcPr>
          <w:p w14:paraId="0E91673D"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59B9E891" w14:textId="77777777" w:rsidTr="004C04AF">
        <w:trPr>
          <w:trHeight w:val="680"/>
        </w:trPr>
        <w:tc>
          <w:tcPr>
            <w:tcW w:w="2155" w:type="dxa"/>
            <w:noWrap/>
            <w:hideMark/>
          </w:tcPr>
          <w:p w14:paraId="503F0F64" w14:textId="5EBDCF37"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Watling</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2018</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[71]</w:t>
            </w:r>
          </w:p>
        </w:tc>
        <w:tc>
          <w:tcPr>
            <w:tcW w:w="4500" w:type="dxa"/>
          </w:tcPr>
          <w:p w14:paraId="1E3E3CE2"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framework for integrating implicit bias recognition into health professions education</w:t>
            </w:r>
          </w:p>
        </w:tc>
        <w:tc>
          <w:tcPr>
            <w:tcW w:w="2430" w:type="dxa"/>
            <w:hideMark/>
          </w:tcPr>
          <w:p w14:paraId="54B25D80"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2967041E" w14:textId="77777777" w:rsidTr="004C04AF">
        <w:trPr>
          <w:trHeight w:val="680"/>
        </w:trPr>
        <w:tc>
          <w:tcPr>
            <w:tcW w:w="2155" w:type="dxa"/>
            <w:noWrap/>
            <w:hideMark/>
          </w:tcPr>
          <w:p w14:paraId="4C1BE030" w14:textId="092B6B30"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Sukhera</w:t>
            </w:r>
            <w:proofErr w:type="spellEnd"/>
            <w:r>
              <w:rPr>
                <w:rFonts w:ascii="Calibri" w:eastAsia="Times New Roman" w:hAnsi="Calibri" w:cs="Calibri"/>
                <w:color w:val="000000"/>
                <w:kern w:val="0"/>
                <w:sz w:val="16"/>
                <w:szCs w:val="16"/>
                <w:lang w:val="en-AU" w:eastAsia="en-GB"/>
                <w14:ligatures w14:val="none"/>
              </w:rPr>
              <w:t xml:space="preserve"> et al. (20</w:t>
            </w:r>
            <w:r w:rsidRPr="00F82998">
              <w:rPr>
                <w:rFonts w:ascii="Calibri" w:eastAsia="Times New Roman" w:hAnsi="Calibri" w:cs="Calibri"/>
                <w:color w:val="000000"/>
                <w:kern w:val="0"/>
                <w:sz w:val="16"/>
                <w:szCs w:val="16"/>
                <w:lang w:val="en-AU" w:eastAsia="en-GB"/>
                <w14:ligatures w14:val="none"/>
              </w:rPr>
              <w:t>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[72]</w:t>
            </w:r>
          </w:p>
        </w:tc>
        <w:tc>
          <w:tcPr>
            <w:tcW w:w="4500" w:type="dxa"/>
          </w:tcPr>
          <w:p w14:paraId="64745F49"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Implicit bias in health professions: from recognition to transformation</w:t>
            </w:r>
          </w:p>
        </w:tc>
        <w:tc>
          <w:tcPr>
            <w:tcW w:w="2430" w:type="dxa"/>
            <w:hideMark/>
          </w:tcPr>
          <w:p w14:paraId="5F786928" w14:textId="77777777" w:rsidR="004E3C0A" w:rsidRPr="001C65FE" w:rsidRDefault="004E3C0A" w:rsidP="00BB6553">
            <w:pPr>
              <w:rPr>
                <w:rFonts w:ascii="Calibri" w:eastAsia="Times New Roman" w:hAnsi="Calibri" w:cs="Calibri"/>
                <w:color w:val="000000"/>
                <w:kern w:val="0"/>
                <w:sz w:val="16"/>
                <w:szCs w:val="16"/>
                <w:highlight w:val="yellow"/>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w:t>
            </w:r>
          </w:p>
        </w:tc>
      </w:tr>
      <w:tr w:rsidR="004E3C0A" w:rsidRPr="00F82998" w14:paraId="7548F955" w14:textId="77777777" w:rsidTr="004C04AF">
        <w:trPr>
          <w:trHeight w:val="680"/>
        </w:trPr>
        <w:tc>
          <w:tcPr>
            <w:tcW w:w="2155" w:type="dxa"/>
            <w:noWrap/>
            <w:hideMark/>
          </w:tcPr>
          <w:p w14:paraId="7015AB8B" w14:textId="7D51A2EA"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Thomas</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 xml:space="preserve">Booth-McCoy, </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2020</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[73]</w:t>
            </w:r>
          </w:p>
        </w:tc>
        <w:tc>
          <w:tcPr>
            <w:tcW w:w="4500" w:type="dxa"/>
          </w:tcPr>
          <w:p w14:paraId="0A62D9A1"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Blackface, implicit bias, and the informal curriculum: shaping the healthcare workforce, and improving health</w:t>
            </w:r>
          </w:p>
        </w:tc>
        <w:tc>
          <w:tcPr>
            <w:tcW w:w="2430" w:type="dxa"/>
            <w:hideMark/>
          </w:tcPr>
          <w:p w14:paraId="0D4398C8"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3BF4BBC6" w14:textId="77777777" w:rsidTr="004C04AF">
        <w:trPr>
          <w:trHeight w:val="340"/>
        </w:trPr>
        <w:tc>
          <w:tcPr>
            <w:tcW w:w="2155" w:type="dxa"/>
            <w:noWrap/>
            <w:hideMark/>
          </w:tcPr>
          <w:p w14:paraId="0B92396D" w14:textId="263C02EF"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Tsai</w:t>
            </w:r>
            <w:r>
              <w:rPr>
                <w:rFonts w:ascii="Calibri" w:eastAsia="Times New Roman" w:hAnsi="Calibri" w:cs="Calibri"/>
                <w:color w:val="000000"/>
                <w:kern w:val="0"/>
                <w:sz w:val="16"/>
                <w:szCs w:val="16"/>
                <w:lang w:val="en-AU" w:eastAsia="en-GB"/>
                <w14:ligatures w14:val="none"/>
              </w:rPr>
              <w:t xml:space="preserve"> &amp; </w:t>
            </w:r>
            <w:r w:rsidRPr="00F82998">
              <w:rPr>
                <w:rFonts w:ascii="Calibri" w:eastAsia="Times New Roman" w:hAnsi="Calibri" w:cs="Calibri"/>
                <w:color w:val="000000"/>
                <w:kern w:val="0"/>
                <w:sz w:val="16"/>
                <w:szCs w:val="16"/>
                <w:lang w:val="en-AU" w:eastAsia="en-GB"/>
                <w14:ligatures w14:val="none"/>
              </w:rPr>
              <w:t>Crawford-Roberts</w:t>
            </w:r>
            <w:r>
              <w:rPr>
                <w:rFonts w:ascii="Calibri" w:eastAsia="Times New Roman" w:hAnsi="Calibri" w:cs="Calibri"/>
                <w:color w:val="000000"/>
                <w:kern w:val="0"/>
                <w:sz w:val="16"/>
                <w:szCs w:val="16"/>
                <w:lang w:val="en-AU" w:eastAsia="en-GB"/>
                <w14:ligatures w14:val="none"/>
              </w:rPr>
              <w:t xml:space="preserve"> (</w:t>
            </w:r>
            <w:r w:rsidRPr="00F82998">
              <w:rPr>
                <w:rFonts w:ascii="Calibri" w:eastAsia="Times New Roman" w:hAnsi="Calibri" w:cs="Calibri"/>
                <w:color w:val="000000"/>
                <w:kern w:val="0"/>
                <w:sz w:val="16"/>
                <w:szCs w:val="16"/>
                <w:lang w:val="en-AU" w:eastAsia="en-GB"/>
                <w14:ligatures w14:val="none"/>
              </w:rPr>
              <w:t>2017</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[74]</w:t>
            </w:r>
          </w:p>
        </w:tc>
        <w:tc>
          <w:tcPr>
            <w:tcW w:w="4500" w:type="dxa"/>
          </w:tcPr>
          <w:p w14:paraId="03B1D4B5"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A call for critical race theory in medical education</w:t>
            </w:r>
          </w:p>
        </w:tc>
        <w:tc>
          <w:tcPr>
            <w:tcW w:w="2430" w:type="dxa"/>
            <w:hideMark/>
          </w:tcPr>
          <w:p w14:paraId="5839C984"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r w:rsidR="004E3C0A" w:rsidRPr="00F82998" w14:paraId="08F7B6C0" w14:textId="77777777" w:rsidTr="004C04AF">
        <w:trPr>
          <w:trHeight w:val="680"/>
        </w:trPr>
        <w:tc>
          <w:tcPr>
            <w:tcW w:w="2155" w:type="dxa"/>
            <w:noWrap/>
            <w:hideMark/>
          </w:tcPr>
          <w:p w14:paraId="36D46735" w14:textId="03B09611" w:rsidR="004E3C0A" w:rsidRPr="00F82998" w:rsidRDefault="004E3C0A" w:rsidP="00BB6553">
            <w:pPr>
              <w:rPr>
                <w:rFonts w:ascii="Calibri" w:eastAsia="Times New Roman" w:hAnsi="Calibri" w:cs="Calibri"/>
                <w:color w:val="000000"/>
                <w:kern w:val="0"/>
                <w:sz w:val="16"/>
                <w:szCs w:val="16"/>
                <w:lang w:val="en-AU" w:eastAsia="en-GB"/>
                <w14:ligatures w14:val="none"/>
              </w:rPr>
            </w:pPr>
            <w:proofErr w:type="spellStart"/>
            <w:r w:rsidRPr="00F82998">
              <w:rPr>
                <w:rFonts w:ascii="Calibri" w:eastAsia="Times New Roman" w:hAnsi="Calibri" w:cs="Calibri"/>
                <w:color w:val="000000"/>
                <w:kern w:val="0"/>
                <w:sz w:val="16"/>
                <w:szCs w:val="16"/>
                <w:lang w:val="en-AU" w:eastAsia="en-GB"/>
                <w14:ligatures w14:val="none"/>
              </w:rPr>
              <w:t>Zestcott</w:t>
            </w:r>
            <w:proofErr w:type="spellEnd"/>
            <w:r>
              <w:rPr>
                <w:rFonts w:ascii="Calibri" w:eastAsia="Times New Roman" w:hAnsi="Calibri" w:cs="Calibri"/>
                <w:color w:val="000000"/>
                <w:kern w:val="0"/>
                <w:sz w:val="16"/>
                <w:szCs w:val="16"/>
                <w:lang w:val="en-AU" w:eastAsia="en-GB"/>
                <w14:ligatures w14:val="none"/>
              </w:rPr>
              <w:t xml:space="preserve"> et al. (</w:t>
            </w:r>
            <w:r w:rsidRPr="00F82998">
              <w:rPr>
                <w:rFonts w:ascii="Calibri" w:eastAsia="Times New Roman" w:hAnsi="Calibri" w:cs="Calibri"/>
                <w:color w:val="000000"/>
                <w:kern w:val="0"/>
                <w:sz w:val="16"/>
                <w:szCs w:val="16"/>
                <w:lang w:val="en-AU" w:eastAsia="en-GB"/>
                <w14:ligatures w14:val="none"/>
              </w:rPr>
              <w:t>2016</w:t>
            </w:r>
            <w:r>
              <w:rPr>
                <w:rFonts w:ascii="Calibri" w:eastAsia="Times New Roman" w:hAnsi="Calibri" w:cs="Calibri"/>
                <w:color w:val="000000"/>
                <w:kern w:val="0"/>
                <w:sz w:val="16"/>
                <w:szCs w:val="16"/>
                <w:lang w:val="en-AU" w:eastAsia="en-GB"/>
                <w14:ligatures w14:val="none"/>
              </w:rPr>
              <w:t>)</w:t>
            </w:r>
            <w:r w:rsidRPr="00F82998">
              <w:rPr>
                <w:rFonts w:ascii="Calibri" w:eastAsia="Times New Roman" w:hAnsi="Calibri" w:cs="Calibri"/>
                <w:color w:val="000000"/>
                <w:kern w:val="0"/>
                <w:sz w:val="16"/>
                <w:szCs w:val="16"/>
                <w:lang w:val="en-AU" w:eastAsia="en-GB"/>
                <w14:ligatures w14:val="none"/>
              </w:rPr>
              <w:t xml:space="preserve"> </w:t>
            </w:r>
            <w:r>
              <w:rPr>
                <w:rFonts w:ascii="Calibri" w:eastAsia="Times New Roman" w:hAnsi="Calibri" w:cs="Calibri"/>
                <w:noProof/>
                <w:color w:val="000000"/>
                <w:kern w:val="0"/>
                <w:sz w:val="16"/>
                <w:szCs w:val="16"/>
                <w:lang w:val="en-AU" w:eastAsia="en-GB"/>
                <w14:ligatures w14:val="none"/>
              </w:rPr>
              <w:t>[75]</w:t>
            </w:r>
          </w:p>
        </w:tc>
        <w:tc>
          <w:tcPr>
            <w:tcW w:w="4500" w:type="dxa"/>
          </w:tcPr>
          <w:p w14:paraId="0D8832A6"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 xml:space="preserve">Examining the presence, consequences, and reduction of implicit bias in health care: a narrative review </w:t>
            </w:r>
          </w:p>
        </w:tc>
        <w:tc>
          <w:tcPr>
            <w:tcW w:w="2430" w:type="dxa"/>
            <w:hideMark/>
          </w:tcPr>
          <w:p w14:paraId="3D0BCE57" w14:textId="77777777" w:rsidR="004E3C0A" w:rsidRPr="00F82998" w:rsidRDefault="004E3C0A" w:rsidP="00BB6553">
            <w:pPr>
              <w:rPr>
                <w:rFonts w:ascii="Calibri" w:eastAsia="Times New Roman" w:hAnsi="Calibri" w:cs="Calibri"/>
                <w:color w:val="000000"/>
                <w:kern w:val="0"/>
                <w:sz w:val="16"/>
                <w:szCs w:val="16"/>
                <w:lang w:val="en-AU" w:eastAsia="en-GB"/>
                <w14:ligatures w14:val="none"/>
              </w:rPr>
            </w:pPr>
            <w:r w:rsidRPr="00F82998">
              <w:rPr>
                <w:rFonts w:ascii="Calibri" w:eastAsia="Times New Roman" w:hAnsi="Calibri" w:cs="Calibri"/>
                <w:color w:val="000000"/>
                <w:kern w:val="0"/>
                <w:sz w:val="16"/>
                <w:szCs w:val="16"/>
                <w:lang w:val="en-AU" w:eastAsia="en-GB"/>
                <w14:ligatures w14:val="none"/>
              </w:rPr>
              <w:t>Exclusion reason: Wrong publication type (</w:t>
            </w:r>
            <w:proofErr w:type="gramStart"/>
            <w:r w:rsidRPr="00F82998">
              <w:rPr>
                <w:rFonts w:ascii="Calibri" w:eastAsia="Times New Roman" w:hAnsi="Calibri" w:cs="Calibri"/>
                <w:color w:val="000000"/>
                <w:kern w:val="0"/>
                <w:sz w:val="16"/>
                <w:szCs w:val="16"/>
                <w:lang w:val="en-AU" w:eastAsia="en-GB"/>
                <w14:ligatures w14:val="none"/>
              </w:rPr>
              <w:t>e.g.</w:t>
            </w:r>
            <w:proofErr w:type="gramEnd"/>
            <w:r w:rsidRPr="00F82998">
              <w:rPr>
                <w:rFonts w:ascii="Calibri" w:eastAsia="Times New Roman" w:hAnsi="Calibri" w:cs="Calibri"/>
                <w:color w:val="000000"/>
                <w:kern w:val="0"/>
                <w:sz w:val="16"/>
                <w:szCs w:val="16"/>
                <w:lang w:val="en-AU" w:eastAsia="en-GB"/>
                <w14:ligatures w14:val="none"/>
              </w:rPr>
              <w:t xml:space="preserve"> opinion piece, editorial); </w:t>
            </w:r>
          </w:p>
        </w:tc>
      </w:tr>
    </w:tbl>
    <w:p w14:paraId="0E617F23" w14:textId="77777777" w:rsidR="002722F9" w:rsidRDefault="002722F9"/>
    <w:p w14:paraId="755E0F1B" w14:textId="77777777" w:rsidR="009E7842" w:rsidRDefault="009E7842">
      <w:pPr>
        <w:sectPr w:rsidR="009E7842" w:rsidSect="00105851">
          <w:pgSz w:w="11900" w:h="16840"/>
          <w:pgMar w:top="1440" w:right="1440" w:bottom="1440" w:left="1440" w:header="708" w:footer="708" w:gutter="0"/>
          <w:cols w:space="708"/>
          <w:docGrid w:linePitch="360"/>
        </w:sectPr>
      </w:pPr>
    </w:p>
    <w:p w14:paraId="1F481C52" w14:textId="721FCFF0" w:rsidR="002722F9" w:rsidRPr="009E7842" w:rsidRDefault="009E7842">
      <w:pPr>
        <w:rPr>
          <w:b/>
          <w:bCs/>
        </w:rPr>
      </w:pPr>
      <w:r w:rsidRPr="009E7842">
        <w:rPr>
          <w:b/>
          <w:bCs/>
        </w:rPr>
        <w:lastRenderedPageBreak/>
        <w:t>Reference List</w:t>
      </w:r>
    </w:p>
    <w:p w14:paraId="46D521AA" w14:textId="77777777" w:rsidR="009E7842" w:rsidRDefault="009E7842"/>
    <w:p w14:paraId="1E616A22" w14:textId="60342F6F" w:rsidR="004E3C0A" w:rsidRPr="004E3C0A" w:rsidRDefault="004E3C0A" w:rsidP="004E3C0A">
      <w:pPr>
        <w:pStyle w:val="EndNoteBibliography"/>
      </w:pPr>
      <w:r w:rsidRPr="004E3C0A">
        <w:t>1.</w:t>
      </w:r>
      <w:r w:rsidRPr="004E3C0A">
        <w:tab/>
        <w:t>Altabbaa G, Raven AD, Laberge J. A simulation-based approach to training in heuristic clinical decision-making. Diagnosis. 2019;6(2):91-9.</w:t>
      </w:r>
    </w:p>
    <w:p w14:paraId="35720A98" w14:textId="77777777" w:rsidR="004E3C0A" w:rsidRPr="004E3C0A" w:rsidRDefault="004E3C0A" w:rsidP="004E3C0A">
      <w:pPr>
        <w:pStyle w:val="EndNoteBibliography"/>
      </w:pPr>
      <w:r w:rsidRPr="004E3C0A">
        <w:t>2.</w:t>
      </w:r>
      <w:r w:rsidRPr="004E3C0A">
        <w:tab/>
        <w:t>Callender AA, Franco-Watkins AM, Roberts AS. Improving metacognition in the classroom through instruction, training, and feedback. Metacognition and Learning. 2016;11(2):215-35.</w:t>
      </w:r>
    </w:p>
    <w:p w14:paraId="5AEA1520" w14:textId="77777777" w:rsidR="004E3C0A" w:rsidRPr="004E3C0A" w:rsidRDefault="004E3C0A" w:rsidP="004E3C0A">
      <w:pPr>
        <w:pStyle w:val="EndNoteBibliography"/>
      </w:pPr>
      <w:r w:rsidRPr="004E3C0A">
        <w:t>3.</w:t>
      </w:r>
      <w:r w:rsidRPr="004E3C0A">
        <w:tab/>
        <w:t>Godsil RD, Tropp LR, Goff PA, Powell JA. Addressing implicit bias, racial anxiety, and stereotype threat in education and health care. The Science of Equality. 2014;1:1-90.</w:t>
      </w:r>
    </w:p>
    <w:p w14:paraId="0F6B2651" w14:textId="77777777" w:rsidR="004E3C0A" w:rsidRPr="004E3C0A" w:rsidRDefault="004E3C0A" w:rsidP="004E3C0A">
      <w:pPr>
        <w:pStyle w:val="EndNoteBibliography"/>
      </w:pPr>
      <w:r w:rsidRPr="004E3C0A">
        <w:t>4.</w:t>
      </w:r>
      <w:r w:rsidRPr="004E3C0A">
        <w:tab/>
        <w:t>Gonzalez CM, Garba RJ, Liguori A, Marantz PR, McKee MD, Lypson ML. How to make or break implicit bias instruction: Implications for curriculum development. Academic medicine: journal of the Association of American Medical Colleges. 2018;93(11):S74.</w:t>
      </w:r>
    </w:p>
    <w:p w14:paraId="45FC2D1A" w14:textId="77777777" w:rsidR="004E3C0A" w:rsidRPr="004E3C0A" w:rsidRDefault="004E3C0A" w:rsidP="004E3C0A">
      <w:pPr>
        <w:pStyle w:val="EndNoteBibliography"/>
      </w:pPr>
      <w:r w:rsidRPr="004E3C0A">
        <w:t>5.</w:t>
      </w:r>
      <w:r w:rsidRPr="004E3C0A">
        <w:tab/>
        <w:t>Hall WJ, Chapman MV, Lee KM, Merino YM, Thomas TW, Payne BK, et al. Implicit racial/ethnic bias among health care professionals and its influence on health care outcomes: A systematic review. American journal of public health. 2015;105(12):e60-e76.</w:t>
      </w:r>
    </w:p>
    <w:p w14:paraId="5CF6196D" w14:textId="77777777" w:rsidR="004E3C0A" w:rsidRPr="004E3C0A" w:rsidRDefault="004E3C0A" w:rsidP="004E3C0A">
      <w:pPr>
        <w:pStyle w:val="EndNoteBibliography"/>
      </w:pPr>
      <w:r w:rsidRPr="004E3C0A">
        <w:t>6.</w:t>
      </w:r>
      <w:r w:rsidRPr="004E3C0A">
        <w:tab/>
        <w:t>Harrison-Bernard LM, Augustus-Wallace AC, Souza-Smith FM, Tsien F, Casey GP, Gunaldo TP. Knowledge gains in a professional development workshop on diversity, equity, inclusion, and implicit bias in academia. Adv Physiol Educ. 2020;44(3):286-94.</w:t>
      </w:r>
    </w:p>
    <w:p w14:paraId="63299A77" w14:textId="77777777" w:rsidR="004E3C0A" w:rsidRPr="004E3C0A" w:rsidRDefault="004E3C0A" w:rsidP="004E3C0A">
      <w:pPr>
        <w:pStyle w:val="EndNoteBibliography"/>
      </w:pPr>
      <w:r w:rsidRPr="004E3C0A">
        <w:t>7.</w:t>
      </w:r>
      <w:r w:rsidRPr="004E3C0A">
        <w:tab/>
        <w:t>Hunzeker A, Amin R. Teaching cognitive bias in a hurry: Single-session workshop approach for psychiatry residents and students. MedEdPORTAL publ. 2016;12:10451.</w:t>
      </w:r>
    </w:p>
    <w:p w14:paraId="7516012A" w14:textId="77777777" w:rsidR="004E3C0A" w:rsidRPr="004E3C0A" w:rsidRDefault="004E3C0A" w:rsidP="004E3C0A">
      <w:pPr>
        <w:pStyle w:val="EndNoteBibliography"/>
      </w:pPr>
      <w:r w:rsidRPr="004E3C0A">
        <w:t>8.</w:t>
      </w:r>
      <w:r w:rsidRPr="004E3C0A">
        <w:tab/>
        <w:t>McDowell MJ, Goldhammer H, Potter JE, Keuroghlian AS. Strategies to mitigate clinician implicit bias against sexual and gender minority patients. Psychosomatics. 2020;61(6):655-61.</w:t>
      </w:r>
    </w:p>
    <w:p w14:paraId="0B8ED407" w14:textId="77777777" w:rsidR="004E3C0A" w:rsidRPr="004E3C0A" w:rsidRDefault="004E3C0A" w:rsidP="004E3C0A">
      <w:pPr>
        <w:pStyle w:val="EndNoteBibliography"/>
      </w:pPr>
      <w:r w:rsidRPr="004E3C0A">
        <w:t>9.</w:t>
      </w:r>
      <w:r w:rsidRPr="004E3C0A">
        <w:tab/>
        <w:t>Perdomo J, Tolliver D, Hsu H, He Y, Nash KA, Donatelli S, et al. Health equity rounds: An interdisciplinary case conference to address implicit bias and structural racism for faculty and trainees. MedEdPORTAL. 2019;15:10858.</w:t>
      </w:r>
    </w:p>
    <w:p w14:paraId="28F01F9D" w14:textId="77777777" w:rsidR="004E3C0A" w:rsidRPr="004E3C0A" w:rsidRDefault="004E3C0A" w:rsidP="004E3C0A">
      <w:pPr>
        <w:pStyle w:val="EndNoteBibliography"/>
      </w:pPr>
      <w:r w:rsidRPr="004E3C0A">
        <w:t>10.</w:t>
      </w:r>
      <w:r w:rsidRPr="004E3C0A">
        <w:tab/>
        <w:t>Prakash S, Bihari S, Need P, Sprick C, Schuwirth L. Immersive high fidelity simulation of critically ill patients to study cognitive errors: A pilot study. BMC Med Educ. 2017;17(1):36.</w:t>
      </w:r>
    </w:p>
    <w:p w14:paraId="2FA9A564" w14:textId="77777777" w:rsidR="004E3C0A" w:rsidRPr="004E3C0A" w:rsidRDefault="004E3C0A" w:rsidP="004E3C0A">
      <w:pPr>
        <w:pStyle w:val="EndNoteBibliography"/>
      </w:pPr>
      <w:r w:rsidRPr="004E3C0A">
        <w:t>11.</w:t>
      </w:r>
      <w:r w:rsidRPr="004E3C0A">
        <w:tab/>
        <w:t>Reilly JB, Ogdie AR, Von Feldt JM, Myers JS. Teaching about how doctors think: A longitudinal curriculum in cognitive bias and diagnostic error for residents. BMJ Quality &amp; Safety. 2013;22(12):1044-50.</w:t>
      </w:r>
    </w:p>
    <w:p w14:paraId="11BBB270" w14:textId="77777777" w:rsidR="004E3C0A" w:rsidRPr="004E3C0A" w:rsidRDefault="004E3C0A" w:rsidP="004E3C0A">
      <w:pPr>
        <w:pStyle w:val="EndNoteBibliography"/>
      </w:pPr>
      <w:r w:rsidRPr="004E3C0A">
        <w:t>12.</w:t>
      </w:r>
      <w:r w:rsidRPr="004E3C0A">
        <w:tab/>
        <w:t>Rynders D. Battling implicit bias in the idea to advocate for african american students with disabilities. Touro L Rev. 2019;35:461.</w:t>
      </w:r>
    </w:p>
    <w:p w14:paraId="503985CC" w14:textId="77777777" w:rsidR="004E3C0A" w:rsidRPr="004E3C0A" w:rsidRDefault="004E3C0A" w:rsidP="004E3C0A">
      <w:pPr>
        <w:pStyle w:val="EndNoteBibliography"/>
      </w:pPr>
      <w:r w:rsidRPr="004E3C0A">
        <w:t>13.</w:t>
      </w:r>
      <w:r w:rsidRPr="004E3C0A">
        <w:tab/>
        <w:t>Stroumsa D, Shires DA, Richardson CR, Jaffee KD, Woodford MR. Transphobia rather than education predicts provider knowledge of transgender health care. Medical education. 2019;53(4):398-407.</w:t>
      </w:r>
    </w:p>
    <w:p w14:paraId="1A50722B" w14:textId="77777777" w:rsidR="004E3C0A" w:rsidRPr="004E3C0A" w:rsidRDefault="004E3C0A" w:rsidP="004E3C0A">
      <w:pPr>
        <w:pStyle w:val="EndNoteBibliography"/>
      </w:pPr>
      <w:r w:rsidRPr="004E3C0A">
        <w:t>14.</w:t>
      </w:r>
      <w:r w:rsidRPr="004E3C0A">
        <w:tab/>
        <w:t>Sukhera J, Milne A, Teunissen PW, Lingard L, Watling C. The actual versus idealized self: Exploring responses to feedback about implicit bias in health professionals. Acad Med. 2018;93(4):623-9.</w:t>
      </w:r>
    </w:p>
    <w:p w14:paraId="645FDFEF" w14:textId="77777777" w:rsidR="004E3C0A" w:rsidRPr="004E3C0A" w:rsidRDefault="004E3C0A" w:rsidP="004E3C0A">
      <w:pPr>
        <w:pStyle w:val="EndNoteBibliography"/>
      </w:pPr>
      <w:r w:rsidRPr="004E3C0A">
        <w:t>15.</w:t>
      </w:r>
      <w:r w:rsidRPr="004E3C0A">
        <w:tab/>
        <w:t>Sukhera J, Milne A, Teunissen PW, Lingard L, Watling C. Adaptive reinventing: Implicit bias and the co-construction of social change. Adv Health Sci Educ Theory Pract. 2018;23(3):587-99.</w:t>
      </w:r>
    </w:p>
    <w:p w14:paraId="6EDE4D69" w14:textId="77777777" w:rsidR="004E3C0A" w:rsidRPr="004E3C0A" w:rsidRDefault="004E3C0A" w:rsidP="004E3C0A">
      <w:pPr>
        <w:pStyle w:val="EndNoteBibliography"/>
      </w:pPr>
      <w:r w:rsidRPr="004E3C0A">
        <w:t>16.</w:t>
      </w:r>
      <w:r w:rsidRPr="004E3C0A">
        <w:tab/>
        <w:t>Sukhera J, Wodzinski M, Teunissen PW, Lingard L, Watling C. Striving while accepting: Exploring the relationship between identity and implicit bias recognition and management. Acad Med. 2018;93(11S):S82-S8.</w:t>
      </w:r>
    </w:p>
    <w:p w14:paraId="2C38FC05" w14:textId="77777777" w:rsidR="004E3C0A" w:rsidRPr="004E3C0A" w:rsidRDefault="004E3C0A" w:rsidP="004E3C0A">
      <w:pPr>
        <w:pStyle w:val="EndNoteBibliography"/>
      </w:pPr>
      <w:r w:rsidRPr="004E3C0A">
        <w:lastRenderedPageBreak/>
        <w:t>17.</w:t>
      </w:r>
      <w:r w:rsidRPr="004E3C0A">
        <w:tab/>
        <w:t>Sukhera J, Wodzinski M, Milne A, Teunissen PW, Lingard L, Watling C. Implicit bias and the feedback paradox: Exploring how health professionals engage with feedback while questioning its credibility. Acad Med. 2019;94(8):1204-10.</w:t>
      </w:r>
    </w:p>
    <w:p w14:paraId="42403395" w14:textId="77777777" w:rsidR="004E3C0A" w:rsidRPr="004E3C0A" w:rsidRDefault="004E3C0A" w:rsidP="004E3C0A">
      <w:pPr>
        <w:pStyle w:val="EndNoteBibliography"/>
      </w:pPr>
      <w:r w:rsidRPr="004E3C0A">
        <w:t>18.</w:t>
      </w:r>
      <w:r w:rsidRPr="004E3C0A">
        <w:tab/>
        <w:t>Sukhera J, Wodzinski M, Rehman M, Gonzalez CM. The implicit association test in health professions education: A meta-narrative review. Perspect Med Educ. 2019;8(5):267-75.</w:t>
      </w:r>
    </w:p>
    <w:p w14:paraId="433967C9" w14:textId="77777777" w:rsidR="004E3C0A" w:rsidRPr="004E3C0A" w:rsidRDefault="004E3C0A" w:rsidP="004E3C0A">
      <w:pPr>
        <w:pStyle w:val="EndNoteBibliography"/>
      </w:pPr>
      <w:r w:rsidRPr="004E3C0A">
        <w:t>19.</w:t>
      </w:r>
      <w:r w:rsidRPr="004E3C0A">
        <w:tab/>
        <w:t>Westerberg D. Understanding and dealing with implicit bias and discipline in early care and education. The Brown University Child and Adolescent Behavior Letter. 2016;32(10):1-6.</w:t>
      </w:r>
    </w:p>
    <w:p w14:paraId="3518D87F" w14:textId="77777777" w:rsidR="004E3C0A" w:rsidRPr="004E3C0A" w:rsidRDefault="004E3C0A" w:rsidP="004E3C0A">
      <w:pPr>
        <w:pStyle w:val="EndNoteBibliography"/>
      </w:pPr>
      <w:r w:rsidRPr="004E3C0A">
        <w:t>20.</w:t>
      </w:r>
      <w:r w:rsidRPr="004E3C0A">
        <w:tab/>
        <w:t>Almashat S, Ayotte B, Edelstein B, Margrett J. Framing effect debiasing in medical decision making. Patient Educ Couns. 2008;71(1):102-7.</w:t>
      </w:r>
    </w:p>
    <w:p w14:paraId="60FDC68F" w14:textId="77777777" w:rsidR="004E3C0A" w:rsidRPr="004E3C0A" w:rsidRDefault="004E3C0A" w:rsidP="004E3C0A">
      <w:pPr>
        <w:pStyle w:val="EndNoteBibliography"/>
      </w:pPr>
      <w:r w:rsidRPr="004E3C0A">
        <w:t>21.</w:t>
      </w:r>
      <w:r w:rsidRPr="004E3C0A">
        <w:tab/>
        <w:t>Avant ND, Weed E, Connelly C, Hincapie AL, Penm J. Qualitative analysis of student pharmacists’ reflections of harvard’s race implicit association test. Currents in Pharmacy Teaching and Learning. 2018;10(5):611-7.</w:t>
      </w:r>
    </w:p>
    <w:p w14:paraId="6DA03176" w14:textId="77777777" w:rsidR="004E3C0A" w:rsidRPr="004E3C0A" w:rsidRDefault="004E3C0A" w:rsidP="004E3C0A">
      <w:pPr>
        <w:pStyle w:val="EndNoteBibliography"/>
      </w:pPr>
      <w:r w:rsidRPr="004E3C0A">
        <w:t>22.</w:t>
      </w:r>
      <w:r w:rsidRPr="004E3C0A">
        <w:tab/>
        <w:t>Braun LT, Borrmann KF, Lottspeich C, Heinrich DA, Kiesewetter J, Fischer MR, et al. Scaffolding clinical reasoning of medical students with virtual patients: Effects on diagnostic accuracy, efficiency, and errors. Diagnosis (Berl). 2019;6(2):137-49.</w:t>
      </w:r>
    </w:p>
    <w:p w14:paraId="649664BC" w14:textId="77777777" w:rsidR="004E3C0A" w:rsidRPr="004E3C0A" w:rsidRDefault="004E3C0A" w:rsidP="004E3C0A">
      <w:pPr>
        <w:pStyle w:val="EndNoteBibliography"/>
      </w:pPr>
      <w:r w:rsidRPr="004E3C0A">
        <w:t>23.</w:t>
      </w:r>
      <w:r w:rsidRPr="004E3C0A">
        <w:tab/>
        <w:t>Burt L, Corbridge S. Teaching diagnostic reasoning: A review of evidence-based interventions. Int. 2018;15(1):02.</w:t>
      </w:r>
    </w:p>
    <w:p w14:paraId="317EBF6E" w14:textId="77777777" w:rsidR="004E3C0A" w:rsidRPr="004E3C0A" w:rsidRDefault="004E3C0A" w:rsidP="004E3C0A">
      <w:pPr>
        <w:pStyle w:val="EndNoteBibliography"/>
      </w:pPr>
      <w:r w:rsidRPr="004E3C0A">
        <w:t>24.</w:t>
      </w:r>
      <w:r w:rsidRPr="004E3C0A">
        <w:tab/>
        <w:t>Capers IV Q. How clinicians and educators can mitigate implicit bias in patient care and candidate selection in medical education. ATS sch. 2020;1(3):211-7.</w:t>
      </w:r>
    </w:p>
    <w:p w14:paraId="543B2789" w14:textId="77777777" w:rsidR="004E3C0A" w:rsidRPr="004E3C0A" w:rsidRDefault="004E3C0A" w:rsidP="004E3C0A">
      <w:pPr>
        <w:pStyle w:val="EndNoteBibliography"/>
      </w:pPr>
      <w:r w:rsidRPr="004E3C0A">
        <w:t>25.</w:t>
      </w:r>
      <w:r w:rsidRPr="004E3C0A">
        <w:tab/>
        <w:t>Carabez R, Pellegrini M, Mankovitz A, Eliason MJ, Dariotis WM. Nursing students' perceptions of their knowledge of lesbian, gay, bisexual, and transgender issues: Effectiveness of a multi-purpose assignment in a public health nursing class. J Nurs Educ. 2015;54(1):50-3.</w:t>
      </w:r>
    </w:p>
    <w:p w14:paraId="54EF2B6D" w14:textId="77777777" w:rsidR="004E3C0A" w:rsidRPr="004E3C0A" w:rsidRDefault="004E3C0A" w:rsidP="004E3C0A">
      <w:pPr>
        <w:pStyle w:val="EndNoteBibliography"/>
      </w:pPr>
      <w:r w:rsidRPr="004E3C0A">
        <w:t>26.</w:t>
      </w:r>
      <w:r w:rsidRPr="004E3C0A">
        <w:tab/>
        <w:t>Desy J, Coderre S, Davis M, Cusano R, McLaughlin K. How can we reduce bias during an academic assessment reappraisal? Medical Teacher. 2019;41(11):1315-8.</w:t>
      </w:r>
    </w:p>
    <w:p w14:paraId="416503D6" w14:textId="77777777" w:rsidR="004E3C0A" w:rsidRPr="004E3C0A" w:rsidRDefault="004E3C0A" w:rsidP="004E3C0A">
      <w:pPr>
        <w:pStyle w:val="EndNoteBibliography"/>
      </w:pPr>
      <w:r w:rsidRPr="004E3C0A">
        <w:t>27.</w:t>
      </w:r>
      <w:r w:rsidRPr="004E3C0A">
        <w:tab/>
        <w:t>Gonzalez CM, Deno ML, Kintzer E, Marantz PR, Lypson ML, McKee MD. Patient perspectives on racial and ethnic implicit bias in clinical encounters: Implications for curriculum development. Patient education and counseling. 2018;101(9):1669-75.</w:t>
      </w:r>
    </w:p>
    <w:p w14:paraId="4D08DBD8" w14:textId="77777777" w:rsidR="004E3C0A" w:rsidRPr="004E3C0A" w:rsidRDefault="004E3C0A" w:rsidP="004E3C0A">
      <w:pPr>
        <w:pStyle w:val="EndNoteBibliography"/>
      </w:pPr>
      <w:r w:rsidRPr="004E3C0A">
        <w:t>28.</w:t>
      </w:r>
      <w:r w:rsidRPr="004E3C0A">
        <w:tab/>
        <w:t>Gonzalez CM, Deno ML, Kintzer E, Marantz PR, Lypson ML, McKee MD. A qualitative study of new york medical student views on implicit bias instruction: Implications for curriculum development. J Gen Intern Med. 2019;34(5):692-8.</w:t>
      </w:r>
    </w:p>
    <w:p w14:paraId="6FEE6AC9" w14:textId="77777777" w:rsidR="004E3C0A" w:rsidRPr="004E3C0A" w:rsidRDefault="004E3C0A" w:rsidP="004E3C0A">
      <w:pPr>
        <w:pStyle w:val="EndNoteBibliography"/>
      </w:pPr>
      <w:r w:rsidRPr="004E3C0A">
        <w:t>29.</w:t>
      </w:r>
      <w:r w:rsidRPr="004E3C0A">
        <w:tab/>
        <w:t>Harris R, Cormack D, Curtis E, Jones R, Stanley J, Lacey C. Development and testing of study tools and methods to examine ethnic bias and clinical decision-making among medical students in new zealand: The bias and decision-making in medicine (bdmm) study. BMC Med Educ. 2016;16:173.</w:t>
      </w:r>
    </w:p>
    <w:p w14:paraId="4BB407F3" w14:textId="77777777" w:rsidR="004E3C0A" w:rsidRPr="004E3C0A" w:rsidRDefault="004E3C0A" w:rsidP="004E3C0A">
      <w:pPr>
        <w:pStyle w:val="EndNoteBibliography"/>
      </w:pPr>
      <w:r w:rsidRPr="004E3C0A">
        <w:t>30.</w:t>
      </w:r>
      <w:r w:rsidRPr="004E3C0A">
        <w:tab/>
        <w:t>Hernandez R. Medical students' implicit bias and the communication of norms in medical education. Teaching and Learning in Medicine. 2018;30(1):112-7.</w:t>
      </w:r>
    </w:p>
    <w:p w14:paraId="0B07D609" w14:textId="77777777" w:rsidR="004E3C0A" w:rsidRPr="004E3C0A" w:rsidRDefault="004E3C0A" w:rsidP="004E3C0A">
      <w:pPr>
        <w:pStyle w:val="EndNoteBibliography"/>
      </w:pPr>
      <w:r w:rsidRPr="004E3C0A">
        <w:t>31.</w:t>
      </w:r>
      <w:r w:rsidRPr="004E3C0A">
        <w:tab/>
        <w:t>Issac C, Behar-Horenstein L. Impact of interviews on heterosexual students' expression of cultural competency. The Qualitative Report. 2016;21(10):13.</w:t>
      </w:r>
    </w:p>
    <w:p w14:paraId="1FF78128" w14:textId="77777777" w:rsidR="004E3C0A" w:rsidRPr="004E3C0A" w:rsidRDefault="004E3C0A" w:rsidP="004E3C0A">
      <w:pPr>
        <w:pStyle w:val="EndNoteBibliography"/>
      </w:pPr>
      <w:r w:rsidRPr="004E3C0A">
        <w:t>32.</w:t>
      </w:r>
      <w:r w:rsidRPr="004E3C0A">
        <w:tab/>
        <w:t>Johnson K, Rullo J, Faubion S. Student-initiated sexual health selective as a curricular tool. Sex Med. 2015;3(2):118-27.</w:t>
      </w:r>
    </w:p>
    <w:p w14:paraId="563AFA7C" w14:textId="77777777" w:rsidR="004E3C0A" w:rsidRPr="004E3C0A" w:rsidRDefault="004E3C0A" w:rsidP="004E3C0A">
      <w:pPr>
        <w:pStyle w:val="EndNoteBibliography"/>
      </w:pPr>
      <w:r w:rsidRPr="004E3C0A">
        <w:t>33.</w:t>
      </w:r>
      <w:r w:rsidRPr="004E3C0A">
        <w:tab/>
        <w:t>Kassirer JP. Teaching clinical reasoning: Case-based and coached. Acad Med. 2010;85(7):1118-24.</w:t>
      </w:r>
    </w:p>
    <w:p w14:paraId="66E79DF3" w14:textId="77777777" w:rsidR="004E3C0A" w:rsidRPr="004E3C0A" w:rsidRDefault="004E3C0A" w:rsidP="004E3C0A">
      <w:pPr>
        <w:pStyle w:val="EndNoteBibliography"/>
      </w:pPr>
      <w:r w:rsidRPr="004E3C0A">
        <w:t>34.</w:t>
      </w:r>
      <w:r w:rsidRPr="004E3C0A">
        <w:tab/>
        <w:t>Keiller L, Hanekom SD. Strategies to increase clinical reasoning and critical thinking in physiotherapy education. South African Journal of Physiotherapy. 2014;70(1):8-12.</w:t>
      </w:r>
    </w:p>
    <w:p w14:paraId="6829EF06" w14:textId="77777777" w:rsidR="004E3C0A" w:rsidRPr="004E3C0A" w:rsidRDefault="004E3C0A" w:rsidP="004E3C0A">
      <w:pPr>
        <w:pStyle w:val="EndNoteBibliography"/>
      </w:pPr>
      <w:r w:rsidRPr="004E3C0A">
        <w:lastRenderedPageBreak/>
        <w:t>35.</w:t>
      </w:r>
      <w:r w:rsidRPr="004E3C0A">
        <w:tab/>
        <w:t>Kelley L, Chou CL, Dibble SL, Robertson PA. A critical intervention in lesbian, gay, bisexual, and transgender health: Knowledge and attitude outcomes among second-year medical students. Teach Learn Med. 2008;20(3):248-53.</w:t>
      </w:r>
    </w:p>
    <w:p w14:paraId="4FB6DDA6" w14:textId="77777777" w:rsidR="004E3C0A" w:rsidRPr="004E3C0A" w:rsidRDefault="004E3C0A" w:rsidP="004E3C0A">
      <w:pPr>
        <w:pStyle w:val="EndNoteBibliography"/>
      </w:pPr>
      <w:r w:rsidRPr="004E3C0A">
        <w:t>36.</w:t>
      </w:r>
      <w:r w:rsidRPr="004E3C0A">
        <w:tab/>
        <w:t>Klayman J, Brown K. Debias the environment instead of the judge: An alternative approach to reducing error in diagnostic (and other) judgment. Cognition. 1993;49(1-2):97-122.</w:t>
      </w:r>
    </w:p>
    <w:p w14:paraId="0C876518" w14:textId="77777777" w:rsidR="004E3C0A" w:rsidRPr="004E3C0A" w:rsidRDefault="004E3C0A" w:rsidP="004E3C0A">
      <w:pPr>
        <w:pStyle w:val="EndNoteBibliography"/>
      </w:pPr>
      <w:r w:rsidRPr="004E3C0A">
        <w:t>37.</w:t>
      </w:r>
      <w:r w:rsidRPr="004E3C0A">
        <w:tab/>
        <w:t>Klein M, Otto B, Fischer MR, Stark R. Fostering medical students' clinical reasoning by learning from errors in clinical case vignettes: Effects and conditions of additional prompting procedures to foster self-explanations. Adv Health Sci Educ Theory Pract. 2019;24(2):331-51.</w:t>
      </w:r>
    </w:p>
    <w:p w14:paraId="0318ADFA" w14:textId="77777777" w:rsidR="004E3C0A" w:rsidRPr="004E3C0A" w:rsidRDefault="004E3C0A" w:rsidP="004E3C0A">
      <w:pPr>
        <w:pStyle w:val="EndNoteBibliography"/>
      </w:pPr>
      <w:r w:rsidRPr="004E3C0A">
        <w:t>38.</w:t>
      </w:r>
      <w:r w:rsidRPr="004E3C0A">
        <w:tab/>
        <w:t>Lambe KA, Hevey D, Kelly BD. Guided reflection interventions show no effect on diagnostic accuracy in medical students. Front Psychol. 2018;9:2297.</w:t>
      </w:r>
    </w:p>
    <w:p w14:paraId="70D5E484" w14:textId="77777777" w:rsidR="004E3C0A" w:rsidRPr="004E3C0A" w:rsidRDefault="004E3C0A" w:rsidP="004E3C0A">
      <w:pPr>
        <w:pStyle w:val="EndNoteBibliography"/>
      </w:pPr>
      <w:r w:rsidRPr="004E3C0A">
        <w:t>39.</w:t>
      </w:r>
      <w:r w:rsidRPr="004E3C0A">
        <w:tab/>
        <w:t>Maina IW, Belton TD, Ginzberg S, Singh A, Johnson TJ. A decade of studying implicit racial/ethnic bias in healthcare providers using the implicit association test. Social Science &amp; Medicine. 2018;199:219-29.</w:t>
      </w:r>
    </w:p>
    <w:p w14:paraId="05D42C2C" w14:textId="77777777" w:rsidR="004E3C0A" w:rsidRPr="004E3C0A" w:rsidRDefault="004E3C0A" w:rsidP="004E3C0A">
      <w:pPr>
        <w:pStyle w:val="EndNoteBibliography"/>
      </w:pPr>
      <w:r w:rsidRPr="004E3C0A">
        <w:t>40.</w:t>
      </w:r>
      <w:r w:rsidRPr="004E3C0A">
        <w:tab/>
        <w:t>McCormick M, Seta JJ. Lateralized goal framing: How selective presentation impacts message effectiveness. Journal of Health Psychology. 2012;17(8):1099-109.</w:t>
      </w:r>
    </w:p>
    <w:p w14:paraId="077315A7" w14:textId="77777777" w:rsidR="004E3C0A" w:rsidRPr="004E3C0A" w:rsidRDefault="004E3C0A" w:rsidP="004E3C0A">
      <w:pPr>
        <w:pStyle w:val="EndNoteBibliography"/>
      </w:pPr>
      <w:r w:rsidRPr="004E3C0A">
        <w:t>41.</w:t>
      </w:r>
      <w:r w:rsidRPr="004E3C0A">
        <w:tab/>
        <w:t>Myung SJ, Kang SH, Phyo SR, Shin JS, Park WB. Effect of enhanced analytic reasoning on diagnostic accuracy: A randomized controlled study. Medical Teacher. 2013;35(3):248-50.</w:t>
      </w:r>
    </w:p>
    <w:p w14:paraId="0AF4DAFD" w14:textId="77777777" w:rsidR="004E3C0A" w:rsidRPr="004E3C0A" w:rsidRDefault="004E3C0A" w:rsidP="004E3C0A">
      <w:pPr>
        <w:pStyle w:val="EndNoteBibliography"/>
      </w:pPr>
      <w:r w:rsidRPr="004E3C0A">
        <w:t>42.</w:t>
      </w:r>
      <w:r w:rsidRPr="004E3C0A">
        <w:tab/>
        <w:t>Phelan SM, Puhl RM, Burke SE, Hardeman R, Dovidio JF, Nelson DB, et al. The mixed impact of medical school on medical students' implicit and explicit weight bias. Medical Education. 2015;49(10):983-92.</w:t>
      </w:r>
    </w:p>
    <w:p w14:paraId="7BDBDB8B" w14:textId="77777777" w:rsidR="004E3C0A" w:rsidRPr="004E3C0A" w:rsidRDefault="004E3C0A" w:rsidP="004E3C0A">
      <w:pPr>
        <w:pStyle w:val="EndNoteBibliography"/>
      </w:pPr>
      <w:r w:rsidRPr="004E3C0A">
        <w:t>43.</w:t>
      </w:r>
      <w:r w:rsidRPr="004E3C0A">
        <w:tab/>
        <w:t>Reinsch RW, Goltz SM, Hietapelto AB. Student evaluations and the problem of implicit bias. JC &amp; UL. 2020;45:114.</w:t>
      </w:r>
    </w:p>
    <w:p w14:paraId="1953B47D" w14:textId="77777777" w:rsidR="004E3C0A" w:rsidRPr="004E3C0A" w:rsidRDefault="004E3C0A" w:rsidP="004E3C0A">
      <w:pPr>
        <w:pStyle w:val="EndNoteBibliography"/>
      </w:pPr>
      <w:r w:rsidRPr="004E3C0A">
        <w:t>44.</w:t>
      </w:r>
      <w:r w:rsidRPr="004E3C0A">
        <w:tab/>
        <w:t>Richie M, Josephson S. Quantifying heuristic bias: Anchoring, availability, and representativeness. Teaching and Learning in Medicine. 2018;30(1):67-75.</w:t>
      </w:r>
    </w:p>
    <w:p w14:paraId="1E38F5B8" w14:textId="77777777" w:rsidR="004E3C0A" w:rsidRPr="004E3C0A" w:rsidRDefault="004E3C0A" w:rsidP="004E3C0A">
      <w:pPr>
        <w:pStyle w:val="EndNoteBibliography"/>
      </w:pPr>
      <w:r w:rsidRPr="004E3C0A">
        <w:t>45.</w:t>
      </w:r>
      <w:r w:rsidRPr="004E3C0A">
        <w:tab/>
        <w:t>Sanders W, McHugh D. Pre-clerkship medical students' experiences and perspectives of system 1 and system 2 thinking: A qualitative study. Education Sciences Vol 11(2), 2021, ArtID 34. 2021;11(2).</w:t>
      </w:r>
    </w:p>
    <w:p w14:paraId="413CC00E" w14:textId="77777777" w:rsidR="004E3C0A" w:rsidRPr="004E3C0A" w:rsidRDefault="004E3C0A" w:rsidP="004E3C0A">
      <w:pPr>
        <w:pStyle w:val="EndNoteBibliography"/>
      </w:pPr>
      <w:r w:rsidRPr="004E3C0A">
        <w:t>46.</w:t>
      </w:r>
      <w:r w:rsidRPr="004E3C0A">
        <w:tab/>
        <w:t>Strong KL, Folse VN. Assessing undergraduate nursing students' knowledge, attitudes, and cultural competence in caring for lesbian, gay, bisexual, and transgender patients. J Nurs Educ. 2015;54(1):45-9.</w:t>
      </w:r>
    </w:p>
    <w:p w14:paraId="60D615CE" w14:textId="77777777" w:rsidR="004E3C0A" w:rsidRPr="004E3C0A" w:rsidRDefault="004E3C0A" w:rsidP="004E3C0A">
      <w:pPr>
        <w:pStyle w:val="EndNoteBibliography"/>
      </w:pPr>
      <w:r w:rsidRPr="004E3C0A">
        <w:t>47.</w:t>
      </w:r>
      <w:r w:rsidRPr="004E3C0A">
        <w:tab/>
        <w:t>Taris TW, Schreurs PJG, van Iersel-van Silfhout IJ. Job stress, job strain, and psychological withdrawal among dutch university staff: Towards a dual-process model for the effects of occupational stress. Work &amp; Stress. 2001;15(4):283-96.</w:t>
      </w:r>
    </w:p>
    <w:p w14:paraId="74904CF4" w14:textId="77777777" w:rsidR="004E3C0A" w:rsidRPr="004E3C0A" w:rsidRDefault="004E3C0A" w:rsidP="004E3C0A">
      <w:pPr>
        <w:pStyle w:val="EndNoteBibliography"/>
      </w:pPr>
      <w:r w:rsidRPr="004E3C0A">
        <w:t>48.</w:t>
      </w:r>
      <w:r w:rsidRPr="004E3C0A">
        <w:tab/>
        <w:t>Thomas LS, Valli A. Levels of occupational stress in doctors working in a south african public-sector hospital. South African Medical Journal. 2006;96(11):1162-8.</w:t>
      </w:r>
    </w:p>
    <w:p w14:paraId="181E95D8" w14:textId="77777777" w:rsidR="004E3C0A" w:rsidRPr="004E3C0A" w:rsidRDefault="004E3C0A" w:rsidP="004E3C0A">
      <w:pPr>
        <w:pStyle w:val="EndNoteBibliography"/>
      </w:pPr>
      <w:r w:rsidRPr="004E3C0A">
        <w:t>49.</w:t>
      </w:r>
      <w:r w:rsidRPr="004E3C0A">
        <w:tab/>
        <w:t>Wallsten TS. Physician and medical student bias in evaluating diagnostic information. Med Decis Making. 1981;1(2):145-64.</w:t>
      </w:r>
    </w:p>
    <w:p w14:paraId="2459BA5E" w14:textId="77777777" w:rsidR="004E3C0A" w:rsidRPr="004E3C0A" w:rsidRDefault="004E3C0A" w:rsidP="004E3C0A">
      <w:pPr>
        <w:pStyle w:val="EndNoteBibliography"/>
      </w:pPr>
      <w:r w:rsidRPr="004E3C0A">
        <w:t>50.</w:t>
      </w:r>
      <w:r w:rsidRPr="004E3C0A">
        <w:tab/>
        <w:t>Neitzel J. Research to practice: Understanding the role of implicit bias in early childhood disciplinary practices. Journal of Early Childhood Teacher Education. 2018;39(3):232-42.</w:t>
      </w:r>
    </w:p>
    <w:p w14:paraId="61FBD9E4" w14:textId="77777777" w:rsidR="004E3C0A" w:rsidRPr="004E3C0A" w:rsidRDefault="004E3C0A" w:rsidP="004E3C0A">
      <w:pPr>
        <w:pStyle w:val="EndNoteBibliography"/>
      </w:pPr>
      <w:r w:rsidRPr="004E3C0A">
        <w:t>51.</w:t>
      </w:r>
      <w:r w:rsidRPr="004E3C0A">
        <w:tab/>
        <w:t>Bhatti A. Cognitive bias in clinical practice–nurturing healthy skepticism among medical students. Advances in Medical Education and Practice. 2018;9:235.</w:t>
      </w:r>
    </w:p>
    <w:p w14:paraId="3C88A97E" w14:textId="77777777" w:rsidR="004E3C0A" w:rsidRPr="004E3C0A" w:rsidRDefault="004E3C0A" w:rsidP="004E3C0A">
      <w:pPr>
        <w:pStyle w:val="EndNoteBibliography"/>
      </w:pPr>
      <w:r w:rsidRPr="004E3C0A">
        <w:t>52.</w:t>
      </w:r>
      <w:r w:rsidRPr="004E3C0A">
        <w:tab/>
        <w:t>Boscardin CK. Reducing implicit bias through curricular interventions. Springer; 2015. p. 1726-8.</w:t>
      </w:r>
    </w:p>
    <w:p w14:paraId="5C24137C" w14:textId="77777777" w:rsidR="004E3C0A" w:rsidRPr="004E3C0A" w:rsidRDefault="004E3C0A" w:rsidP="004E3C0A">
      <w:pPr>
        <w:pStyle w:val="EndNoteBibliography"/>
      </w:pPr>
      <w:r w:rsidRPr="004E3C0A">
        <w:lastRenderedPageBreak/>
        <w:t>53.</w:t>
      </w:r>
      <w:r w:rsidRPr="004E3C0A">
        <w:tab/>
        <w:t>Bou Khalil R, Sleilaty G, El-Khoury J, Nemr E. Teaching the use of framing and decontextualization to address context-based bias in psychiatry. Asian J Psychiatr. 2020;54:102276.</w:t>
      </w:r>
    </w:p>
    <w:p w14:paraId="48084E79" w14:textId="77777777" w:rsidR="004E3C0A" w:rsidRPr="004E3C0A" w:rsidRDefault="004E3C0A" w:rsidP="004E3C0A">
      <w:pPr>
        <w:pStyle w:val="EndNoteBibliography"/>
      </w:pPr>
      <w:r w:rsidRPr="004E3C0A">
        <w:t>54.</w:t>
      </w:r>
      <w:r w:rsidRPr="004E3C0A">
        <w:tab/>
        <w:t>Boysen GA. Integrating implicit bias into counselor education. Counselor Education and Supervision. 2010;49(4):210-27.</w:t>
      </w:r>
    </w:p>
    <w:p w14:paraId="603389A3" w14:textId="77777777" w:rsidR="004E3C0A" w:rsidRPr="004E3C0A" w:rsidRDefault="004E3C0A" w:rsidP="004E3C0A">
      <w:pPr>
        <w:pStyle w:val="EndNoteBibliography"/>
      </w:pPr>
      <w:r w:rsidRPr="004E3C0A">
        <w:t>55.</w:t>
      </w:r>
      <w:r w:rsidRPr="004E3C0A">
        <w:tab/>
        <w:t>Buchs S, Mulitalo K. Implicit bias: An opportunity for physician assistants to mindfully reduce health care disparities. The Journal of Physician Assistant Education. 2016;27(4):193-5.</w:t>
      </w:r>
    </w:p>
    <w:p w14:paraId="3CE5C737" w14:textId="77777777" w:rsidR="004E3C0A" w:rsidRPr="004E3C0A" w:rsidRDefault="004E3C0A" w:rsidP="004E3C0A">
      <w:pPr>
        <w:pStyle w:val="EndNoteBibliography"/>
      </w:pPr>
      <w:r w:rsidRPr="004E3C0A">
        <w:t>56.</w:t>
      </w:r>
      <w:r w:rsidRPr="004E3C0A">
        <w:tab/>
        <w:t>Burgess DJ, Beach MC, Saha S. Mindfulness practice: A promising approach to reducing the effects of clinician implicit bias on patients. Patient Education and Counseling. 2017;100(2):372-6.</w:t>
      </w:r>
    </w:p>
    <w:p w14:paraId="009C8394" w14:textId="77777777" w:rsidR="004E3C0A" w:rsidRPr="004E3C0A" w:rsidRDefault="004E3C0A" w:rsidP="004E3C0A">
      <w:pPr>
        <w:pStyle w:val="EndNoteBibliography"/>
      </w:pPr>
      <w:r w:rsidRPr="004E3C0A">
        <w:t>57.</w:t>
      </w:r>
      <w:r w:rsidRPr="004E3C0A">
        <w:tab/>
        <w:t>Byrne A, Tanesini A. Instilling new habits: Addressing implicit bias in healthcare professionals. Adv Health Sci Educ Theory Pract. 2015;20(5):1255-62.</w:t>
      </w:r>
    </w:p>
    <w:p w14:paraId="41220BC0" w14:textId="77777777" w:rsidR="004E3C0A" w:rsidRPr="004E3C0A" w:rsidRDefault="004E3C0A" w:rsidP="004E3C0A">
      <w:pPr>
        <w:pStyle w:val="EndNoteBibliography"/>
      </w:pPr>
      <w:r w:rsidRPr="004E3C0A">
        <w:t>58.</w:t>
      </w:r>
      <w:r w:rsidRPr="004E3C0A">
        <w:tab/>
        <w:t>Chapman EN, Kaatz A, Carnes M. Physicians and implicit bias: How doctors may unwittingly perpetuate health care disparities. J Gen Intern Med. 2013;28(11):1504-10.</w:t>
      </w:r>
    </w:p>
    <w:p w14:paraId="240E9D80" w14:textId="77777777" w:rsidR="004E3C0A" w:rsidRPr="004E3C0A" w:rsidRDefault="004E3C0A" w:rsidP="004E3C0A">
      <w:pPr>
        <w:pStyle w:val="EndNoteBibliography"/>
      </w:pPr>
      <w:r w:rsidRPr="004E3C0A">
        <w:t>59.</w:t>
      </w:r>
      <w:r w:rsidRPr="004E3C0A">
        <w:tab/>
        <w:t>Cooke M. Implicit bias in academic medicine:# whatadoctorlookslike. JAMA Internal Medicine. 2017;177(5):657-8.</w:t>
      </w:r>
    </w:p>
    <w:p w14:paraId="22CD5D19" w14:textId="77777777" w:rsidR="004E3C0A" w:rsidRPr="004E3C0A" w:rsidRDefault="004E3C0A" w:rsidP="004E3C0A">
      <w:pPr>
        <w:pStyle w:val="EndNoteBibliography"/>
      </w:pPr>
      <w:r w:rsidRPr="004E3C0A">
        <w:t>60.</w:t>
      </w:r>
      <w:r w:rsidRPr="004E3C0A">
        <w:tab/>
        <w:t>Crandlemire LA. Unconscious bias and the impacts on caring: The role of the clinical nursing instructor. International Journal for Human Caring. 2020;24(2):84-91.</w:t>
      </w:r>
    </w:p>
    <w:p w14:paraId="3196F5B9" w14:textId="77777777" w:rsidR="004E3C0A" w:rsidRPr="004E3C0A" w:rsidRDefault="004E3C0A" w:rsidP="004E3C0A">
      <w:pPr>
        <w:pStyle w:val="EndNoteBibliography"/>
      </w:pPr>
      <w:r w:rsidRPr="004E3C0A">
        <w:t>61.</w:t>
      </w:r>
      <w:r w:rsidRPr="004E3C0A">
        <w:tab/>
        <w:t>Fallin-Bennett K. Implicit bias against sexual minorities in medicine: Cycles of professional influence and the role of the hidden curriculum. Acad Med. 2015;90(5):549-52.</w:t>
      </w:r>
    </w:p>
    <w:p w14:paraId="2CD2560E" w14:textId="77777777" w:rsidR="004E3C0A" w:rsidRPr="004E3C0A" w:rsidRDefault="004E3C0A" w:rsidP="004E3C0A">
      <w:pPr>
        <w:pStyle w:val="EndNoteBibliography"/>
      </w:pPr>
      <w:r w:rsidRPr="004E3C0A">
        <w:t>62.</w:t>
      </w:r>
      <w:r w:rsidRPr="004E3C0A">
        <w:tab/>
        <w:t>Griffith PB, Doherty C, Smeltzer SC, Mariani B. Education initiatives in cognitive debiasing to improve diagnostic accuracy in student providers: A scoping review. Journal of the American Association of Nurse Practitioners. 2020;33(11):862-71.</w:t>
      </w:r>
    </w:p>
    <w:p w14:paraId="4AC39610" w14:textId="77777777" w:rsidR="004E3C0A" w:rsidRPr="004E3C0A" w:rsidRDefault="004E3C0A" w:rsidP="004E3C0A">
      <w:pPr>
        <w:pStyle w:val="EndNoteBibliography"/>
      </w:pPr>
      <w:r w:rsidRPr="004E3C0A">
        <w:t>63.</w:t>
      </w:r>
      <w:r w:rsidRPr="004E3C0A">
        <w:tab/>
        <w:t>Hagiwara N, Kron FW, Scerbo MW, Watson GS. A call for grounding implicit bias training in clinical and translational frameworks. The Lancet. 2020;395(10234):1457-60.</w:t>
      </w:r>
    </w:p>
    <w:p w14:paraId="6E1D9AB1" w14:textId="77777777" w:rsidR="004E3C0A" w:rsidRPr="004E3C0A" w:rsidRDefault="004E3C0A" w:rsidP="004E3C0A">
      <w:pPr>
        <w:pStyle w:val="EndNoteBibliography"/>
      </w:pPr>
      <w:r w:rsidRPr="004E3C0A">
        <w:t>64.</w:t>
      </w:r>
      <w:r w:rsidRPr="004E3C0A">
        <w:tab/>
        <w:t>Mayfield JJ, Ball EM, Tillery KA, Crandall C, Dexter J, Winer JM, et al. Beyond men, women, or both: A comprehensive, lgbtq-inclusive, implicit-bias-aware, standardized-patient-based sexual history taking curriculum. MedEdPORTAL. 2017;13:10634.</w:t>
      </w:r>
    </w:p>
    <w:p w14:paraId="37C2378A" w14:textId="77777777" w:rsidR="004E3C0A" w:rsidRPr="004E3C0A" w:rsidRDefault="004E3C0A" w:rsidP="004E3C0A">
      <w:pPr>
        <w:pStyle w:val="EndNoteBibliography"/>
      </w:pPr>
      <w:r w:rsidRPr="004E3C0A">
        <w:t>65.</w:t>
      </w:r>
      <w:r w:rsidRPr="004E3C0A">
        <w:tab/>
        <w:t>Mishra D, Gupta P, Singh T. Teaching for reducing diagnostic errors. Indian Pediatr. 2017;54(1):37-45.</w:t>
      </w:r>
    </w:p>
    <w:p w14:paraId="5F70726C" w14:textId="77777777" w:rsidR="004E3C0A" w:rsidRPr="004E3C0A" w:rsidRDefault="004E3C0A" w:rsidP="004E3C0A">
      <w:pPr>
        <w:pStyle w:val="EndNoteBibliography"/>
      </w:pPr>
      <w:r w:rsidRPr="004E3C0A">
        <w:t>66.</w:t>
      </w:r>
      <w:r w:rsidRPr="004E3C0A">
        <w:tab/>
        <w:t>Morris M, Cooper RL, Ramesh A, Tabatabai M, Arcury TA, Shinn M, et al. Training to reduce lgbtq-related bias among medical, nursing, and dental students and providers: A systematic review. BMC Med Educ. 2019;19(1):1-13.</w:t>
      </w:r>
    </w:p>
    <w:p w14:paraId="3862DC6A" w14:textId="77777777" w:rsidR="004E3C0A" w:rsidRPr="004E3C0A" w:rsidRDefault="004E3C0A" w:rsidP="004E3C0A">
      <w:pPr>
        <w:pStyle w:val="EndNoteBibliography"/>
      </w:pPr>
      <w:r w:rsidRPr="004E3C0A">
        <w:t>67.</w:t>
      </w:r>
      <w:r w:rsidRPr="004E3C0A">
        <w:tab/>
        <w:t>Plews-Ogan ML, Bell TD, Townsend G, Canterbury RJ, Wilkes DS. Acting wisely: Eliminating negative bias in medical education-part 2: How can we do better? Acad Med. 2020;95(12S Addressing Harmful Bias and Eliminating Discrimination in Health Professions Learning Environments):S16-S22.</w:t>
      </w:r>
    </w:p>
    <w:p w14:paraId="1D831B42" w14:textId="77777777" w:rsidR="004E3C0A" w:rsidRPr="004E3C0A" w:rsidRDefault="004E3C0A" w:rsidP="004E3C0A">
      <w:pPr>
        <w:pStyle w:val="EndNoteBibliography"/>
      </w:pPr>
      <w:r w:rsidRPr="004E3C0A">
        <w:t>68.</w:t>
      </w:r>
      <w:r w:rsidRPr="004E3C0A">
        <w:tab/>
        <w:t>Sellier A-L, Scopelliti I, Morewedge CK. Debiasing training improves decision making in the field. Psychol Sci. 2019;30(9):1371-9.</w:t>
      </w:r>
    </w:p>
    <w:p w14:paraId="769E5D41" w14:textId="77777777" w:rsidR="004E3C0A" w:rsidRPr="004E3C0A" w:rsidRDefault="004E3C0A" w:rsidP="004E3C0A">
      <w:pPr>
        <w:pStyle w:val="EndNoteBibliography"/>
      </w:pPr>
      <w:r w:rsidRPr="004E3C0A">
        <w:t>69.</w:t>
      </w:r>
      <w:r w:rsidRPr="004E3C0A">
        <w:tab/>
        <w:t>Sellier A-L, Scopelliti I, Morewedge CK. "Debiasing training improves decision making in the field": Corrigendum. Psychol Sci. 2020;31(6):762.</w:t>
      </w:r>
    </w:p>
    <w:p w14:paraId="3ED97B93" w14:textId="77777777" w:rsidR="004E3C0A" w:rsidRPr="004E3C0A" w:rsidRDefault="004E3C0A" w:rsidP="004E3C0A">
      <w:pPr>
        <w:pStyle w:val="EndNoteBibliography"/>
      </w:pPr>
      <w:r w:rsidRPr="004E3C0A">
        <w:t>70.</w:t>
      </w:r>
      <w:r w:rsidRPr="004E3C0A">
        <w:tab/>
        <w:t>Staats C. Understanding implicit bias: What educators should know. American Educator. 2016;39(4):29.</w:t>
      </w:r>
    </w:p>
    <w:p w14:paraId="118832FA" w14:textId="77777777" w:rsidR="004E3C0A" w:rsidRPr="004E3C0A" w:rsidRDefault="004E3C0A" w:rsidP="004E3C0A">
      <w:pPr>
        <w:pStyle w:val="EndNoteBibliography"/>
      </w:pPr>
      <w:r w:rsidRPr="004E3C0A">
        <w:t>71.</w:t>
      </w:r>
      <w:r w:rsidRPr="004E3C0A">
        <w:tab/>
        <w:t>Sukhera J, Watling C. A framework for integrating implicit bias recognition into health professions education. Acad Med. 2018;93(1):35-40.</w:t>
      </w:r>
    </w:p>
    <w:p w14:paraId="10AE1385" w14:textId="77777777" w:rsidR="004E3C0A" w:rsidRPr="004E3C0A" w:rsidRDefault="004E3C0A" w:rsidP="004E3C0A">
      <w:pPr>
        <w:pStyle w:val="EndNoteBibliography"/>
      </w:pPr>
      <w:r w:rsidRPr="004E3C0A">
        <w:lastRenderedPageBreak/>
        <w:t>72.</w:t>
      </w:r>
      <w:r w:rsidRPr="004E3C0A">
        <w:tab/>
        <w:t>Sukhera J, Watling CJ, Gonzalez CM. Implicit bias in health professions: From recognition to transformation. Acad Med. 2020;95(5):717-23.</w:t>
      </w:r>
    </w:p>
    <w:p w14:paraId="5E115C7E" w14:textId="77777777" w:rsidR="004E3C0A" w:rsidRPr="004E3C0A" w:rsidRDefault="004E3C0A" w:rsidP="004E3C0A">
      <w:pPr>
        <w:pStyle w:val="EndNoteBibliography"/>
      </w:pPr>
      <w:r w:rsidRPr="004E3C0A">
        <w:t>73.</w:t>
      </w:r>
      <w:r w:rsidRPr="004E3C0A">
        <w:tab/>
        <w:t>Thomas B, Booth-McCoy AN. Blackface, implicit bias, and the informal curriculum: Shaping the healthcare workforce, and improving health. Journal of the National Medical Association. 2020;112(5):533-40.</w:t>
      </w:r>
    </w:p>
    <w:p w14:paraId="720AD777" w14:textId="77777777" w:rsidR="004E3C0A" w:rsidRPr="004E3C0A" w:rsidRDefault="004E3C0A" w:rsidP="004E3C0A">
      <w:pPr>
        <w:pStyle w:val="EndNoteBibliography"/>
      </w:pPr>
      <w:r w:rsidRPr="004E3C0A">
        <w:t>74.</w:t>
      </w:r>
      <w:r w:rsidRPr="004E3C0A">
        <w:tab/>
        <w:t>Tsai J, Crawford-Roberts A. A call for critical race theory in medical education. Acad Med. 2017;92(8):1072-3.</w:t>
      </w:r>
    </w:p>
    <w:p w14:paraId="7BD3B396" w14:textId="77777777" w:rsidR="004E3C0A" w:rsidRPr="004E3C0A" w:rsidRDefault="004E3C0A" w:rsidP="004E3C0A">
      <w:pPr>
        <w:pStyle w:val="EndNoteBibliography"/>
      </w:pPr>
      <w:r w:rsidRPr="004E3C0A">
        <w:t>75.</w:t>
      </w:r>
      <w:r w:rsidRPr="004E3C0A">
        <w:tab/>
        <w:t>Zestcott CA, Blair IV, Stone J. Examining the presence, consequences, and reduction of implicit bias in health care: A narrative review. Group Processes &amp; Intergroup Relations. 2016;19(4):528-42.</w:t>
      </w:r>
    </w:p>
    <w:p w14:paraId="1AF2F487" w14:textId="2879B57C" w:rsidR="00B938FC" w:rsidRDefault="00B938FC"/>
    <w:sectPr w:rsidR="00B938FC" w:rsidSect="0010585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 w:name="EN.Layout" w:val="&lt;ENLayout&gt;&lt;Style&gt;Vancouver Copy (square bracke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tvfzexitrw05e9fe7p9a2xxxzez50a0zdp&quot;&gt;My EndNote Library IMPLICIT BIAS&lt;record-ids&gt;&lt;item&gt;30&lt;/item&gt;&lt;item&gt;31&lt;/item&gt;&lt;item&gt;45&lt;/item&gt;&lt;item&gt;46&lt;/item&gt;&lt;item&gt;68&lt;/item&gt;&lt;item&gt;84&lt;/item&gt;&lt;item&gt;88&lt;/item&gt;&lt;item&gt;90&lt;/item&gt;&lt;item&gt;105&lt;/item&gt;&lt;item&gt;108&lt;/item&gt;&lt;item&gt;109&lt;/item&gt;&lt;item&gt;117&lt;/item&gt;&lt;item&gt;126&lt;/item&gt;&lt;item&gt;151&lt;/item&gt;&lt;item&gt;156&lt;/item&gt;&lt;item&gt;161&lt;/item&gt;&lt;item&gt;196&lt;/item&gt;&lt;item&gt;219&lt;/item&gt;&lt;item&gt;234&lt;/item&gt;&lt;item&gt;281&lt;/item&gt;&lt;item&gt;401&lt;/item&gt;&lt;item&gt;427&lt;/item&gt;&lt;item&gt;428&lt;/item&gt;&lt;item&gt;436&lt;/item&gt;&lt;item&gt;442&lt;/item&gt;&lt;item&gt;464&lt;/item&gt;&lt;item&gt;481&lt;/item&gt;&lt;item&gt;484&lt;/item&gt;&lt;item&gt;586&lt;/item&gt;&lt;item&gt;604&lt;/item&gt;&lt;item&gt;606&lt;/item&gt;&lt;item&gt;608&lt;/item&gt;&lt;item&gt;609&lt;/item&gt;&lt;item&gt;610&lt;/item&gt;&lt;item&gt;611&lt;/item&gt;&lt;item&gt;612&lt;/item&gt;&lt;item&gt;613&lt;/item&gt;&lt;item&gt;615&lt;/item&gt;&lt;item&gt;617&lt;/item&gt;&lt;item&gt;618&lt;/item&gt;&lt;item&gt;619&lt;/item&gt;&lt;item&gt;621&lt;/item&gt;&lt;item&gt;622&lt;/item&gt;&lt;item&gt;624&lt;/item&gt;&lt;item&gt;625&lt;/item&gt;&lt;item&gt;626&lt;/item&gt;&lt;item&gt;627&lt;/item&gt;&lt;item&gt;628&lt;/item&gt;&lt;item&gt;629&lt;/item&gt;&lt;item&gt;630&lt;/item&gt;&lt;item&gt;631&lt;/item&gt;&lt;item&gt;632&lt;/item&gt;&lt;item&gt;634&lt;/item&gt;&lt;item&gt;635&lt;/item&gt;&lt;item&gt;636&lt;/item&gt;&lt;item&gt;637&lt;/item&gt;&lt;item&gt;640&lt;/item&gt;&lt;item&gt;641&lt;/item&gt;&lt;item&gt;642&lt;/item&gt;&lt;item&gt;643&lt;/item&gt;&lt;item&gt;644&lt;/item&gt;&lt;item&gt;645&lt;/item&gt;&lt;item&gt;646&lt;/item&gt;&lt;item&gt;648&lt;/item&gt;&lt;item&gt;649&lt;/item&gt;&lt;item&gt;650&lt;/item&gt;&lt;item&gt;651&lt;/item&gt;&lt;item&gt;652&lt;/item&gt;&lt;item&gt;673&lt;/item&gt;&lt;item&gt;692&lt;/item&gt;&lt;item&gt;700&lt;/item&gt;&lt;item&gt;703&lt;/item&gt;&lt;item&gt;704&lt;/item&gt;&lt;item&gt;706&lt;/item&gt;&lt;item&gt;713&lt;/item&gt;&lt;/record-ids&gt;&lt;/item&gt;&lt;/Libraries&gt;"/>
  </w:docVars>
  <w:rsids>
    <w:rsidRoot w:val="00F82998"/>
    <w:rsid w:val="00007001"/>
    <w:rsid w:val="00022544"/>
    <w:rsid w:val="000258C1"/>
    <w:rsid w:val="00025DD5"/>
    <w:rsid w:val="00026184"/>
    <w:rsid w:val="00027684"/>
    <w:rsid w:val="000331EC"/>
    <w:rsid w:val="000368A1"/>
    <w:rsid w:val="00040104"/>
    <w:rsid w:val="00057950"/>
    <w:rsid w:val="000709E8"/>
    <w:rsid w:val="00074DB1"/>
    <w:rsid w:val="00081623"/>
    <w:rsid w:val="00083C28"/>
    <w:rsid w:val="000917A2"/>
    <w:rsid w:val="00096DFC"/>
    <w:rsid w:val="000A1FC6"/>
    <w:rsid w:val="000B3BD5"/>
    <w:rsid w:val="000C195F"/>
    <w:rsid w:val="000C2069"/>
    <w:rsid w:val="000C2D22"/>
    <w:rsid w:val="000C767D"/>
    <w:rsid w:val="000E1053"/>
    <w:rsid w:val="00100DFA"/>
    <w:rsid w:val="00102F24"/>
    <w:rsid w:val="00105851"/>
    <w:rsid w:val="00105BCF"/>
    <w:rsid w:val="00110A9A"/>
    <w:rsid w:val="0011349E"/>
    <w:rsid w:val="001141EE"/>
    <w:rsid w:val="0013501D"/>
    <w:rsid w:val="00135967"/>
    <w:rsid w:val="00136D7F"/>
    <w:rsid w:val="0014065E"/>
    <w:rsid w:val="00153D93"/>
    <w:rsid w:val="0015669F"/>
    <w:rsid w:val="00167F2E"/>
    <w:rsid w:val="00175C2E"/>
    <w:rsid w:val="00175F32"/>
    <w:rsid w:val="0017639B"/>
    <w:rsid w:val="001774D3"/>
    <w:rsid w:val="00182F02"/>
    <w:rsid w:val="001845B1"/>
    <w:rsid w:val="00194B86"/>
    <w:rsid w:val="001C0553"/>
    <w:rsid w:val="001C08FE"/>
    <w:rsid w:val="001C65FE"/>
    <w:rsid w:val="001C6FE5"/>
    <w:rsid w:val="001D49D3"/>
    <w:rsid w:val="001E4226"/>
    <w:rsid w:val="001E68DA"/>
    <w:rsid w:val="001F60EB"/>
    <w:rsid w:val="001F7AA0"/>
    <w:rsid w:val="00202A29"/>
    <w:rsid w:val="00214560"/>
    <w:rsid w:val="00215CE7"/>
    <w:rsid w:val="0022528A"/>
    <w:rsid w:val="00234254"/>
    <w:rsid w:val="00236B3C"/>
    <w:rsid w:val="002376FA"/>
    <w:rsid w:val="00250E31"/>
    <w:rsid w:val="00253730"/>
    <w:rsid w:val="0025778D"/>
    <w:rsid w:val="002641C5"/>
    <w:rsid w:val="002722F9"/>
    <w:rsid w:val="002765B8"/>
    <w:rsid w:val="002768A1"/>
    <w:rsid w:val="002805FE"/>
    <w:rsid w:val="002829D7"/>
    <w:rsid w:val="00290D78"/>
    <w:rsid w:val="002921CE"/>
    <w:rsid w:val="002A4840"/>
    <w:rsid w:val="002B683A"/>
    <w:rsid w:val="002B6C50"/>
    <w:rsid w:val="002C10B6"/>
    <w:rsid w:val="002D7E28"/>
    <w:rsid w:val="002E0721"/>
    <w:rsid w:val="002E4BB3"/>
    <w:rsid w:val="002F4C3D"/>
    <w:rsid w:val="002F60CF"/>
    <w:rsid w:val="00311276"/>
    <w:rsid w:val="00321C24"/>
    <w:rsid w:val="00326171"/>
    <w:rsid w:val="003275F5"/>
    <w:rsid w:val="003517FE"/>
    <w:rsid w:val="00356C9C"/>
    <w:rsid w:val="00363796"/>
    <w:rsid w:val="00364A06"/>
    <w:rsid w:val="00365FA5"/>
    <w:rsid w:val="003728D3"/>
    <w:rsid w:val="00372A10"/>
    <w:rsid w:val="00377257"/>
    <w:rsid w:val="00377CD4"/>
    <w:rsid w:val="0038121A"/>
    <w:rsid w:val="00393D21"/>
    <w:rsid w:val="003A68BA"/>
    <w:rsid w:val="003B2170"/>
    <w:rsid w:val="003B6176"/>
    <w:rsid w:val="003B6CC2"/>
    <w:rsid w:val="003C1405"/>
    <w:rsid w:val="003C38AD"/>
    <w:rsid w:val="003D511D"/>
    <w:rsid w:val="003E6F2B"/>
    <w:rsid w:val="00401B5F"/>
    <w:rsid w:val="0041019B"/>
    <w:rsid w:val="0041141B"/>
    <w:rsid w:val="004115F1"/>
    <w:rsid w:val="00414745"/>
    <w:rsid w:val="00414760"/>
    <w:rsid w:val="00417381"/>
    <w:rsid w:val="00422B4C"/>
    <w:rsid w:val="00423CEC"/>
    <w:rsid w:val="004267EC"/>
    <w:rsid w:val="00426ED2"/>
    <w:rsid w:val="004306D5"/>
    <w:rsid w:val="00434F4E"/>
    <w:rsid w:val="004356C8"/>
    <w:rsid w:val="004359C3"/>
    <w:rsid w:val="004479A6"/>
    <w:rsid w:val="00450666"/>
    <w:rsid w:val="004608ED"/>
    <w:rsid w:val="004647F9"/>
    <w:rsid w:val="0046656C"/>
    <w:rsid w:val="00471A2C"/>
    <w:rsid w:val="00473717"/>
    <w:rsid w:val="00474524"/>
    <w:rsid w:val="00482AA2"/>
    <w:rsid w:val="00485B3B"/>
    <w:rsid w:val="004B0D9D"/>
    <w:rsid w:val="004B613A"/>
    <w:rsid w:val="004C04AF"/>
    <w:rsid w:val="004C2CCB"/>
    <w:rsid w:val="004C5C81"/>
    <w:rsid w:val="004E2D75"/>
    <w:rsid w:val="004E3C0A"/>
    <w:rsid w:val="004E41BC"/>
    <w:rsid w:val="004E4C84"/>
    <w:rsid w:val="005004ED"/>
    <w:rsid w:val="00504278"/>
    <w:rsid w:val="00504968"/>
    <w:rsid w:val="00506F1A"/>
    <w:rsid w:val="005119F3"/>
    <w:rsid w:val="00511B36"/>
    <w:rsid w:val="00516F46"/>
    <w:rsid w:val="00517E46"/>
    <w:rsid w:val="00521B6A"/>
    <w:rsid w:val="00522A2D"/>
    <w:rsid w:val="00522BCD"/>
    <w:rsid w:val="005272B7"/>
    <w:rsid w:val="005309D5"/>
    <w:rsid w:val="00536B82"/>
    <w:rsid w:val="0054079D"/>
    <w:rsid w:val="00543648"/>
    <w:rsid w:val="00544EAE"/>
    <w:rsid w:val="00563BD0"/>
    <w:rsid w:val="0056564D"/>
    <w:rsid w:val="00570CB3"/>
    <w:rsid w:val="00591BCE"/>
    <w:rsid w:val="005A3FDD"/>
    <w:rsid w:val="005A7B7F"/>
    <w:rsid w:val="005B6471"/>
    <w:rsid w:val="005B6D31"/>
    <w:rsid w:val="005B7F53"/>
    <w:rsid w:val="005C1FCA"/>
    <w:rsid w:val="005C4279"/>
    <w:rsid w:val="005C74CE"/>
    <w:rsid w:val="005D2161"/>
    <w:rsid w:val="005D605D"/>
    <w:rsid w:val="005D6B7F"/>
    <w:rsid w:val="005E27C8"/>
    <w:rsid w:val="005F10ED"/>
    <w:rsid w:val="00600118"/>
    <w:rsid w:val="00607251"/>
    <w:rsid w:val="006145B9"/>
    <w:rsid w:val="006178B5"/>
    <w:rsid w:val="006220D8"/>
    <w:rsid w:val="00624516"/>
    <w:rsid w:val="006259E3"/>
    <w:rsid w:val="00645CF2"/>
    <w:rsid w:val="0065157D"/>
    <w:rsid w:val="00652D0D"/>
    <w:rsid w:val="006568EE"/>
    <w:rsid w:val="00657988"/>
    <w:rsid w:val="00657DD5"/>
    <w:rsid w:val="0066127B"/>
    <w:rsid w:val="006663C4"/>
    <w:rsid w:val="00667472"/>
    <w:rsid w:val="00670DB3"/>
    <w:rsid w:val="00672373"/>
    <w:rsid w:val="00672F4F"/>
    <w:rsid w:val="00675F49"/>
    <w:rsid w:val="0068033F"/>
    <w:rsid w:val="006806F2"/>
    <w:rsid w:val="00685633"/>
    <w:rsid w:val="006A6C55"/>
    <w:rsid w:val="006A6EEA"/>
    <w:rsid w:val="006B02E8"/>
    <w:rsid w:val="006B3576"/>
    <w:rsid w:val="006B446C"/>
    <w:rsid w:val="006B565C"/>
    <w:rsid w:val="006C2F62"/>
    <w:rsid w:val="006C725C"/>
    <w:rsid w:val="006D5022"/>
    <w:rsid w:val="006E251C"/>
    <w:rsid w:val="006F0BF2"/>
    <w:rsid w:val="006F24EC"/>
    <w:rsid w:val="006F5D4F"/>
    <w:rsid w:val="00701C40"/>
    <w:rsid w:val="00703B7C"/>
    <w:rsid w:val="00704546"/>
    <w:rsid w:val="00710763"/>
    <w:rsid w:val="00711516"/>
    <w:rsid w:val="0071210B"/>
    <w:rsid w:val="0071615A"/>
    <w:rsid w:val="00717CCF"/>
    <w:rsid w:val="0072650D"/>
    <w:rsid w:val="00727857"/>
    <w:rsid w:val="00735B18"/>
    <w:rsid w:val="007470CA"/>
    <w:rsid w:val="00756C52"/>
    <w:rsid w:val="00761FB5"/>
    <w:rsid w:val="00761FD1"/>
    <w:rsid w:val="00764CBA"/>
    <w:rsid w:val="00776764"/>
    <w:rsid w:val="00785A4D"/>
    <w:rsid w:val="00793326"/>
    <w:rsid w:val="00793447"/>
    <w:rsid w:val="00794E32"/>
    <w:rsid w:val="0079653E"/>
    <w:rsid w:val="007A071A"/>
    <w:rsid w:val="007A3CAD"/>
    <w:rsid w:val="007B0CD9"/>
    <w:rsid w:val="007B3242"/>
    <w:rsid w:val="007B3CB8"/>
    <w:rsid w:val="007B77DE"/>
    <w:rsid w:val="007C04DD"/>
    <w:rsid w:val="007C2FD9"/>
    <w:rsid w:val="007D4CFD"/>
    <w:rsid w:val="007D6726"/>
    <w:rsid w:val="007F0256"/>
    <w:rsid w:val="007F31F4"/>
    <w:rsid w:val="008044D0"/>
    <w:rsid w:val="008111DB"/>
    <w:rsid w:val="00815724"/>
    <w:rsid w:val="00822524"/>
    <w:rsid w:val="00822870"/>
    <w:rsid w:val="00823BD5"/>
    <w:rsid w:val="00824F60"/>
    <w:rsid w:val="00831D41"/>
    <w:rsid w:val="008333F2"/>
    <w:rsid w:val="008420F8"/>
    <w:rsid w:val="008531D6"/>
    <w:rsid w:val="008579E8"/>
    <w:rsid w:val="00866F21"/>
    <w:rsid w:val="00871341"/>
    <w:rsid w:val="00871A54"/>
    <w:rsid w:val="0087258C"/>
    <w:rsid w:val="0087379D"/>
    <w:rsid w:val="0088293F"/>
    <w:rsid w:val="00882A26"/>
    <w:rsid w:val="00883E89"/>
    <w:rsid w:val="00885108"/>
    <w:rsid w:val="00890064"/>
    <w:rsid w:val="00895FA2"/>
    <w:rsid w:val="008A04B5"/>
    <w:rsid w:val="008A1E16"/>
    <w:rsid w:val="008A6CD8"/>
    <w:rsid w:val="008B0116"/>
    <w:rsid w:val="008B1DC7"/>
    <w:rsid w:val="008B44FA"/>
    <w:rsid w:val="008B6E9B"/>
    <w:rsid w:val="008C194D"/>
    <w:rsid w:val="008E4FBE"/>
    <w:rsid w:val="008E5CF4"/>
    <w:rsid w:val="008F0597"/>
    <w:rsid w:val="008F4B90"/>
    <w:rsid w:val="00901445"/>
    <w:rsid w:val="0090146B"/>
    <w:rsid w:val="009158FA"/>
    <w:rsid w:val="00915E41"/>
    <w:rsid w:val="00921585"/>
    <w:rsid w:val="00924068"/>
    <w:rsid w:val="00925B70"/>
    <w:rsid w:val="00927610"/>
    <w:rsid w:val="00927955"/>
    <w:rsid w:val="009377A9"/>
    <w:rsid w:val="00952BFE"/>
    <w:rsid w:val="00954ADF"/>
    <w:rsid w:val="00956A8E"/>
    <w:rsid w:val="00961B76"/>
    <w:rsid w:val="00972112"/>
    <w:rsid w:val="009748FA"/>
    <w:rsid w:val="00982030"/>
    <w:rsid w:val="00993BCB"/>
    <w:rsid w:val="00996FC0"/>
    <w:rsid w:val="009A42CC"/>
    <w:rsid w:val="009B2326"/>
    <w:rsid w:val="009D0EF9"/>
    <w:rsid w:val="009D25A9"/>
    <w:rsid w:val="009D463E"/>
    <w:rsid w:val="009D50E7"/>
    <w:rsid w:val="009E4A93"/>
    <w:rsid w:val="009E675F"/>
    <w:rsid w:val="009E7842"/>
    <w:rsid w:val="009F1689"/>
    <w:rsid w:val="009F433B"/>
    <w:rsid w:val="009F5E3E"/>
    <w:rsid w:val="009F679E"/>
    <w:rsid w:val="00A010FA"/>
    <w:rsid w:val="00A013D6"/>
    <w:rsid w:val="00A1295C"/>
    <w:rsid w:val="00A1724F"/>
    <w:rsid w:val="00A21837"/>
    <w:rsid w:val="00A2383F"/>
    <w:rsid w:val="00A24F8F"/>
    <w:rsid w:val="00A33C2B"/>
    <w:rsid w:val="00A34BE2"/>
    <w:rsid w:val="00A35CCF"/>
    <w:rsid w:val="00A41C93"/>
    <w:rsid w:val="00A60432"/>
    <w:rsid w:val="00A6119F"/>
    <w:rsid w:val="00A61777"/>
    <w:rsid w:val="00A8245D"/>
    <w:rsid w:val="00A870B2"/>
    <w:rsid w:val="00A90816"/>
    <w:rsid w:val="00AA2457"/>
    <w:rsid w:val="00AA2937"/>
    <w:rsid w:val="00AA31D5"/>
    <w:rsid w:val="00AA3365"/>
    <w:rsid w:val="00AB1C1F"/>
    <w:rsid w:val="00AC0C25"/>
    <w:rsid w:val="00AC375C"/>
    <w:rsid w:val="00AC4A8A"/>
    <w:rsid w:val="00AD03EC"/>
    <w:rsid w:val="00AD6582"/>
    <w:rsid w:val="00AE39C6"/>
    <w:rsid w:val="00AE6385"/>
    <w:rsid w:val="00AF4A6B"/>
    <w:rsid w:val="00AF7904"/>
    <w:rsid w:val="00AF7F0A"/>
    <w:rsid w:val="00B114A3"/>
    <w:rsid w:val="00B16408"/>
    <w:rsid w:val="00B174FB"/>
    <w:rsid w:val="00B21555"/>
    <w:rsid w:val="00B314B4"/>
    <w:rsid w:val="00B32CD3"/>
    <w:rsid w:val="00B3526C"/>
    <w:rsid w:val="00B43A77"/>
    <w:rsid w:val="00B544A9"/>
    <w:rsid w:val="00B54E2F"/>
    <w:rsid w:val="00B7006E"/>
    <w:rsid w:val="00B74A26"/>
    <w:rsid w:val="00B83B5C"/>
    <w:rsid w:val="00B8421C"/>
    <w:rsid w:val="00B938FC"/>
    <w:rsid w:val="00B93A62"/>
    <w:rsid w:val="00B94B86"/>
    <w:rsid w:val="00B962BF"/>
    <w:rsid w:val="00BA1CDE"/>
    <w:rsid w:val="00BB0503"/>
    <w:rsid w:val="00BB17F3"/>
    <w:rsid w:val="00BB2DCD"/>
    <w:rsid w:val="00BB3652"/>
    <w:rsid w:val="00BB67AA"/>
    <w:rsid w:val="00BC0378"/>
    <w:rsid w:val="00BC4AE8"/>
    <w:rsid w:val="00BC5292"/>
    <w:rsid w:val="00BD17B3"/>
    <w:rsid w:val="00BD2347"/>
    <w:rsid w:val="00BD7E1F"/>
    <w:rsid w:val="00BE0394"/>
    <w:rsid w:val="00BE5DA1"/>
    <w:rsid w:val="00BF2095"/>
    <w:rsid w:val="00BF7167"/>
    <w:rsid w:val="00C05174"/>
    <w:rsid w:val="00C07650"/>
    <w:rsid w:val="00C1210D"/>
    <w:rsid w:val="00C15B5C"/>
    <w:rsid w:val="00C302DB"/>
    <w:rsid w:val="00C40778"/>
    <w:rsid w:val="00C41360"/>
    <w:rsid w:val="00C42764"/>
    <w:rsid w:val="00C5086E"/>
    <w:rsid w:val="00C53B5A"/>
    <w:rsid w:val="00C53CFB"/>
    <w:rsid w:val="00C62CB4"/>
    <w:rsid w:val="00C640A8"/>
    <w:rsid w:val="00C7125A"/>
    <w:rsid w:val="00C77272"/>
    <w:rsid w:val="00C82F03"/>
    <w:rsid w:val="00C832A9"/>
    <w:rsid w:val="00C94E04"/>
    <w:rsid w:val="00C978B3"/>
    <w:rsid w:val="00CA1563"/>
    <w:rsid w:val="00CA4160"/>
    <w:rsid w:val="00CA7AEA"/>
    <w:rsid w:val="00CB0521"/>
    <w:rsid w:val="00CB53CC"/>
    <w:rsid w:val="00CC442C"/>
    <w:rsid w:val="00CD4B53"/>
    <w:rsid w:val="00CD709A"/>
    <w:rsid w:val="00CE320B"/>
    <w:rsid w:val="00CE45C0"/>
    <w:rsid w:val="00D014F6"/>
    <w:rsid w:val="00D0160D"/>
    <w:rsid w:val="00D06A9E"/>
    <w:rsid w:val="00D10E6A"/>
    <w:rsid w:val="00D12E34"/>
    <w:rsid w:val="00D15274"/>
    <w:rsid w:val="00D15EE4"/>
    <w:rsid w:val="00D20A40"/>
    <w:rsid w:val="00D32137"/>
    <w:rsid w:val="00D34F81"/>
    <w:rsid w:val="00D432C5"/>
    <w:rsid w:val="00D47994"/>
    <w:rsid w:val="00D57DFC"/>
    <w:rsid w:val="00D61E76"/>
    <w:rsid w:val="00D71E89"/>
    <w:rsid w:val="00D73DD8"/>
    <w:rsid w:val="00D82E81"/>
    <w:rsid w:val="00D84E5B"/>
    <w:rsid w:val="00D90FB9"/>
    <w:rsid w:val="00DA1B81"/>
    <w:rsid w:val="00DA2DFB"/>
    <w:rsid w:val="00DA7FD7"/>
    <w:rsid w:val="00DB31AA"/>
    <w:rsid w:val="00DC108D"/>
    <w:rsid w:val="00DC5FEA"/>
    <w:rsid w:val="00DD5596"/>
    <w:rsid w:val="00DD5A6D"/>
    <w:rsid w:val="00DD6239"/>
    <w:rsid w:val="00DE0F6D"/>
    <w:rsid w:val="00DE33F8"/>
    <w:rsid w:val="00DE3A67"/>
    <w:rsid w:val="00DF1B76"/>
    <w:rsid w:val="00DF44CC"/>
    <w:rsid w:val="00E01188"/>
    <w:rsid w:val="00E017B0"/>
    <w:rsid w:val="00E06AEC"/>
    <w:rsid w:val="00E13955"/>
    <w:rsid w:val="00E23173"/>
    <w:rsid w:val="00E24819"/>
    <w:rsid w:val="00E258C7"/>
    <w:rsid w:val="00E30D9C"/>
    <w:rsid w:val="00E35449"/>
    <w:rsid w:val="00E40F64"/>
    <w:rsid w:val="00E4592D"/>
    <w:rsid w:val="00E51DF9"/>
    <w:rsid w:val="00E56394"/>
    <w:rsid w:val="00E563D1"/>
    <w:rsid w:val="00E633F4"/>
    <w:rsid w:val="00E63437"/>
    <w:rsid w:val="00E65633"/>
    <w:rsid w:val="00E7082F"/>
    <w:rsid w:val="00E75EC7"/>
    <w:rsid w:val="00E775B6"/>
    <w:rsid w:val="00E801FC"/>
    <w:rsid w:val="00E8088E"/>
    <w:rsid w:val="00E838FC"/>
    <w:rsid w:val="00E846FC"/>
    <w:rsid w:val="00E91298"/>
    <w:rsid w:val="00E93CE3"/>
    <w:rsid w:val="00E94755"/>
    <w:rsid w:val="00E96833"/>
    <w:rsid w:val="00E96C89"/>
    <w:rsid w:val="00EA1B5E"/>
    <w:rsid w:val="00EA3DDD"/>
    <w:rsid w:val="00EB26CF"/>
    <w:rsid w:val="00EC0FD6"/>
    <w:rsid w:val="00EE5D60"/>
    <w:rsid w:val="00EF0283"/>
    <w:rsid w:val="00EF071C"/>
    <w:rsid w:val="00EF3D33"/>
    <w:rsid w:val="00EF7418"/>
    <w:rsid w:val="00F06C8C"/>
    <w:rsid w:val="00F10219"/>
    <w:rsid w:val="00F15A6F"/>
    <w:rsid w:val="00F25FE7"/>
    <w:rsid w:val="00F565A1"/>
    <w:rsid w:val="00F60AF3"/>
    <w:rsid w:val="00F61BC4"/>
    <w:rsid w:val="00F6408F"/>
    <w:rsid w:val="00F72126"/>
    <w:rsid w:val="00F82998"/>
    <w:rsid w:val="00F8690B"/>
    <w:rsid w:val="00FA194C"/>
    <w:rsid w:val="00FA33D2"/>
    <w:rsid w:val="00FA4FEA"/>
    <w:rsid w:val="00FB254D"/>
    <w:rsid w:val="00FC4344"/>
    <w:rsid w:val="00FE03B5"/>
    <w:rsid w:val="00FE5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4F30"/>
  <w14:defaultImageDpi w14:val="32767"/>
  <w15:chartTrackingRefBased/>
  <w15:docId w15:val="{45C74C8F-A4CE-274E-B7B6-65CE2D88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legendheading">
    <w:name w:val="Figure legend heading"/>
    <w:basedOn w:val="Normal"/>
    <w:qFormat/>
    <w:rsid w:val="000C767D"/>
    <w:rPr>
      <w:b/>
      <w:lang w:val="en-AU"/>
    </w:rPr>
  </w:style>
  <w:style w:type="table" w:styleId="TableGrid">
    <w:name w:val="Table Grid"/>
    <w:basedOn w:val="TableNormal"/>
    <w:uiPriority w:val="39"/>
    <w:rsid w:val="00F8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722F9"/>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22F9"/>
    <w:rPr>
      <w:rFonts w:ascii="Calibri" w:hAnsi="Calibri" w:cs="Calibri"/>
      <w:noProof/>
    </w:rPr>
  </w:style>
  <w:style w:type="paragraph" w:customStyle="1" w:styleId="EndNoteBibliography">
    <w:name w:val="EndNote Bibliography"/>
    <w:basedOn w:val="Normal"/>
    <w:link w:val="EndNoteBibliographyChar"/>
    <w:rsid w:val="002722F9"/>
    <w:rPr>
      <w:rFonts w:ascii="Calibri" w:hAnsi="Calibri" w:cs="Calibri"/>
      <w:noProof/>
    </w:rPr>
  </w:style>
  <w:style w:type="character" w:customStyle="1" w:styleId="EndNoteBibliographyChar">
    <w:name w:val="EndNote Bibliography Char"/>
    <w:basedOn w:val="DefaultParagraphFont"/>
    <w:link w:val="EndNoteBibliography"/>
    <w:rsid w:val="002722F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641492">
      <w:bodyDiv w:val="1"/>
      <w:marLeft w:val="0"/>
      <w:marRight w:val="0"/>
      <w:marTop w:val="0"/>
      <w:marBottom w:val="0"/>
      <w:divBdr>
        <w:top w:val="none" w:sz="0" w:space="0" w:color="auto"/>
        <w:left w:val="none" w:sz="0" w:space="0" w:color="auto"/>
        <w:bottom w:val="none" w:sz="0" w:space="0" w:color="auto"/>
        <w:right w:val="none" w:sz="0" w:space="0" w:color="auto"/>
      </w:divBdr>
    </w:div>
    <w:div w:id="100717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4147</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Bujalka</dc:creator>
  <cp:keywords/>
  <dc:description/>
  <cp:lastModifiedBy>John Thompson</cp:lastModifiedBy>
  <cp:revision>2</cp:revision>
  <dcterms:created xsi:type="dcterms:W3CDTF">2023-05-11T01:07:00Z</dcterms:created>
  <dcterms:modified xsi:type="dcterms:W3CDTF">2023-05-11T01:07:00Z</dcterms:modified>
</cp:coreProperties>
</file>