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debookTitle"/>
        <w:jc w:val="left"/>
        <w:rPr>
          <w:rFonts w:ascii="Times New Roman" w:hAnsi="Times New Roman" w:cs="Times New Roman"/>
          <w:b/>
          <w:b/>
          <w:color w:val="auto"/>
          <w:sz w:val="28"/>
        </w:rPr>
      </w:pPr>
      <w:r>
        <w:rPr>
          <w:rFonts w:cs="Times New Roman" w:ascii="Times New Roman" w:hAnsi="Times New Roman"/>
          <w:b/>
          <w:color w:val="auto"/>
          <w:sz w:val="28"/>
        </w:rPr>
        <w:t xml:space="preserve">Supplementary material </w:t>
      </w:r>
    </w:p>
    <w:p>
      <w:pPr>
        <w:pStyle w:val="CodebookTitle"/>
        <w:jc w:val="left"/>
        <w:rPr>
          <w:rFonts w:ascii="Times New Roman" w:hAnsi="Times New Roman" w:cs="Times New Roman"/>
          <w:b/>
          <w:b/>
          <w:i/>
          <w:i/>
          <w:color w:val="auto"/>
          <w:sz w:val="24"/>
          <w:u w:val="single"/>
        </w:rPr>
      </w:pPr>
      <w:r>
        <w:rPr>
          <w:rFonts w:cs="Times New Roman" w:ascii="Times New Roman" w:hAnsi="Times New Roman"/>
          <w:b/>
          <w:i/>
          <w:color w:val="auto"/>
          <w:sz w:val="24"/>
        </w:rPr>
        <w:t xml:space="preserve">Appendix 1: Codebook focus group interviews with </w:t>
      </w:r>
      <w:r>
        <w:rPr>
          <w:rFonts w:cs="Times New Roman" w:ascii="Times New Roman" w:hAnsi="Times New Roman"/>
          <w:b/>
          <w:i/>
          <w:color w:val="auto"/>
          <w:sz w:val="24"/>
          <w:u w:val="single"/>
        </w:rPr>
        <w:t>mentors</w:t>
      </w:r>
    </w:p>
    <w:p>
      <w:pPr>
        <w:pStyle w:val="CodebookTitle"/>
        <w:jc w:val="left"/>
        <w:rPr>
          <w:rFonts w:ascii="Times New Roman" w:hAnsi="Times New Roman" w:cs="Times New Roman"/>
          <w:color w:val="auto"/>
          <w:sz w:val="22"/>
        </w:rPr>
      </w:pPr>
      <w:r>
        <w:rPr>
          <w:rFonts w:cs="Times New Roman" w:ascii="Times New Roman" w:hAnsi="Times New Roman"/>
          <w:color w:val="000000"/>
          <w:sz w:val="22"/>
          <w:shd w:fill="FFF2CC" w:val="clear"/>
        </w:rPr>
        <w:t>Main themes</w:t>
      </w:r>
      <w:r>
        <w:rPr>
          <w:rFonts w:cs="Times New Roman" w:ascii="Times New Roman" w:hAnsi="Times New Roman"/>
          <w:color w:val="auto"/>
          <w:sz w:val="22"/>
        </w:rPr>
        <w:t>, sub-themes (</w:t>
      </w:r>
      <w:r>
        <w:rPr>
          <w:rFonts w:cs="Times New Roman" w:ascii="Times New Roman" w:hAnsi="Times New Roman"/>
          <w:color w:val="000000"/>
          <w:sz w:val="22"/>
          <w:shd w:fill="FBE4D5" w:val="clear"/>
        </w:rPr>
        <w:t>level 1</w:t>
      </w:r>
      <w:r>
        <w:rPr>
          <w:rFonts w:cs="Times New Roman" w:ascii="Times New Roman" w:hAnsi="Times New Roman"/>
          <w:color w:val="auto"/>
          <w:sz w:val="22"/>
        </w:rPr>
        <w:t>), sub-themes (</w:t>
      </w:r>
      <w:r>
        <w:rPr>
          <w:rFonts w:cs="Times New Roman" w:ascii="Times New Roman" w:hAnsi="Times New Roman"/>
          <w:color w:val="000000"/>
          <w:sz w:val="22"/>
          <w:shd w:fill="FCEEE4" w:val="clear"/>
        </w:rPr>
        <w:t>level 2</w:t>
      </w:r>
      <w:r>
        <w:rPr>
          <w:rFonts w:cs="Times New Roman" w:ascii="Times New Roman" w:hAnsi="Times New Roman"/>
          <w:color w:val="auto"/>
          <w:sz w:val="22"/>
        </w:rPr>
        <w:t>), sub-themes (</w:t>
      </w:r>
      <w:r>
        <w:rPr>
          <w:rFonts w:cs="Times New Roman" w:ascii="Times New Roman" w:hAnsi="Times New Roman"/>
          <w:color w:val="000000"/>
          <w:sz w:val="22"/>
          <w:shd w:fill="FFFBF7" w:val="clear"/>
        </w:rPr>
        <w:t>level 3</w:t>
      </w:r>
      <w:r>
        <w:rPr>
          <w:rFonts w:cs="Times New Roman" w:ascii="Times New Roman" w:hAnsi="Times New Roman"/>
          <w:color w:val="auto"/>
          <w:sz w:val="22"/>
        </w:rPr>
        <w:t>) and codes are shown in the Table below.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0" w:lastColumn="0" w:noHBand="0" w:val="042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TableHeader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auto"/>
              </w:rPr>
            </w:pPr>
            <w:r>
              <w:rPr>
                <w:rFonts w:cs="Times New Roman" w:ascii="Times New Roman" w:hAnsi="Times New Roman"/>
                <w:b/>
                <w:i/>
                <w:color w:val="auto"/>
              </w:rPr>
              <w:t>Main themes – Sub-themes level 1 – Sub-themes level 2 – Sub-themes level 3 – Codes</w:t>
            </w:r>
          </w:p>
        </w:tc>
      </w:tr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Administrative Organization of Internships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Organization of hours of internships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Communication between student-institution-workplace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Contact with educator</w:t>
            </w:r>
            <w:bookmarkStart w:id="0" w:name="_GoBack"/>
            <w:bookmarkEnd w:id="0"/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Contact mentor and educator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18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Contact workplace - institution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Bad communication between student and mentor/educator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 transparant communication between student and mentor/educator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New system of work-integrated learning more from the workplace than from the education program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Personal coach from the educational program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Internship office – internship guidance – confusion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Internship guide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Templates for Assignments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Template strong and weak characteristics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Template reports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Work-integrated learning is seen as different to internships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Work-integrated learning as a specific part of the educational program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Characteristics of Good or Bad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Opinion of student about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Mentor as coach or assessor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Mentor as educator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Disadvantages of mentors being educators too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Mentors are motivated nurses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Organization mentor training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Content of mentor training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Problems with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Mentors have to few skills to give good feedback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Difficulties of having more than one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Difference between being a mentor and being no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Communication Competency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Attitude and communication competency are innate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Communication competency: content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Communication competency: growth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Communication competency: growth after graduation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Guidance of Students during Internships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One on one work with student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Conversations between student and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Way of guiding students in difficult situations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Stress moment of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Time investment of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shd w:fill="FCEEE4" w:val="clear"/>
                <w:lang w:val="en-US"/>
              </w:rPr>
            </w:pPr>
            <w:r>
              <w:rPr>
                <w:rFonts w:ascii="Times New Roman" w:hAnsi="Times New Roman"/>
                <w:shd w:fill="FCEEE4" w:val="clear"/>
                <w:lang w:val="en-US"/>
              </w:rPr>
              <w:t>Burden of mentors because of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shd w:fill="FCEEE4" w:val="clear"/>
                <w:lang w:val="en-US"/>
              </w:rPr>
            </w:pPr>
            <w:r>
              <w:rPr>
                <w:rFonts w:ascii="Times New Roman" w:hAnsi="Times New Roman"/>
                <w:shd w:fill="FCEEE4" w:val="clear"/>
                <w:lang w:val="en-US"/>
              </w:rPr>
              <w:t>Pressure of being a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shd w:fill="FCEEE4" w:val="clear"/>
                <w:lang w:val="en-US"/>
              </w:rPr>
            </w:pPr>
            <w:r>
              <w:rPr>
                <w:rFonts w:ascii="Times New Roman" w:hAnsi="Times New Roman"/>
                <w:shd w:fill="FCEEE4" w:val="clear"/>
                <w:lang w:val="en-US"/>
              </w:rPr>
              <w:t>Lack of time of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shd w:fill="FCEEE4" w:val="clear"/>
              </w:rPr>
            </w:pPr>
            <w:r>
              <w:rPr>
                <w:rFonts w:ascii="Times New Roman" w:hAnsi="Times New Roman"/>
                <w:shd w:fill="FCEEE4" w:val="clear"/>
              </w:rPr>
              <w:t>Time investment of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shd w:fill="FCEEE4" w:val="clear"/>
                <w:lang w:val="en-US"/>
              </w:rPr>
            </w:pPr>
            <w:r>
              <w:rPr>
                <w:rFonts w:ascii="Times New Roman" w:hAnsi="Times New Roman"/>
                <w:shd w:fill="FCEEE4" w:val="clear"/>
                <w:lang w:val="en-US"/>
              </w:rPr>
              <w:t>Time investment difference between paper portfolio and ePortfolio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Time investment of educator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Lack of time of educators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Mentor’s high expectation of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Preparation strong and weak points at the start of an internship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Working with the student at the workplace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Disadvantages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Advantages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Impact of the place of the internship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Types of workplaces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Experience of student depends on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Differences between workplaces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Lifelong learning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Competency growth is important after graduation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Lifelong learning due to being a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Portfolio use by employers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Portfolio use after graduation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Newly graduated nurse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Continuous professional development newly graduated healthcare professional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Assessment after three months of work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Feedback portfolio newly graduated healthcare professional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Feedback portfolio newly graduated healthcare professional (2)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Amount of use of portfolios by newly graduated healthcare professionals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Content of portfolio of newly graduated healthcare professional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Time of portfolio completion by newly graduated healthcare professional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Step 1 - Competency Selection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CanMEDS competency framework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CanMEDS competency framework as a more usable framework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Importance of predefined competencies for students from the perspective of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Describing predefined competencies at the workplace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Competency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Generic competencies are equal to technical competencies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Competence of educators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Concept of competency: competencies are seen as ‘talents’ or ‘gifts’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Competency growth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Communication growth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Possible competency growth by formulating learning goals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Competency growth of students important for potential employers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Competency growth newly graduated healthcare professional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Lacking continuity: Competencies are not taken to next internships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Evaluating competency growth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Evolution of students during an internship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Overview assessment of competencies of student – mentor – educator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Displaying expectations of competency growth at the start of an internship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Who can see which competencies are attained or not at following internships?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Competency profile associate degree nursing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Difference between the importance of competencies or treatment plan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Difference between competencies of bachelor nursing and associate degree nursing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Predefined competencies in learning goals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Predefined competencies only at time of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Asking feedback as a competency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Too little emphasis on personal competencies (not from the educational program)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Selection of competencies by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Competencies to be attained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Focus on technical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Hard to find overview of predefined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(Too much) weight of specific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Too little focus on predefined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Use of Entrustable Professional Activities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Strong and weak points are seen as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Step 2 - Formulating Learning Goals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Learning goals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Adaptation of learning goals to workplace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Action plans as learning goals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(Too little) feedback on learning goals by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(Too little) feedback on learning goals as educators according to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Discussing learning goals with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Training the formulation of learning goals from the education program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Learning goals are confused with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(Not) taking (enough) learning goals to next internships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Assessment of the formulation of learning goals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Step 3 - Self-Monitoring Performance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Evaluating reflections and the way of reflecting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Daily reflections are not seen as necessary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Learning moments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Learning to reflect during the educational program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Reflection and feedback at home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Superficial reflection by students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Problems due to low quality of reflections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Reflection: content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Reflection on paper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Linking reflections on specific learning moments to the predefined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Reflection systems and rules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Self-reflection guidelines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Guidelines are not necessary as a student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Reflection at home as a student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Reflection methods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Reflection report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Case study report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Less reflection reports in future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SWOT analysis as reflection report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Reports on the basis of Entrustable Professional Activities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Mentors stimulate reflection by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Too little and too little deep reflection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Self-reflection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Amount of times of self-reflection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Step 4 - Self-Assessing Competency Development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Barriers of giving good feedback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Lack of time for giving feedback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Guidance from the educational program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Two guiding moments and only e-mails are too little guidance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Extra contact between school and workplace in case of problems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Matching student with workplace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Transition to process guidance instead of workplace guidance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Educator has no insight into what happens at the workplace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Student sends information e-mail to educator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Process coach from the education program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Reflection reports only for educational program – not obligated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Change in guidance from the educational program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Keeping feedback forms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Feedback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Deep feedback in mental healthcare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Reading feedback of educators as a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Giving feedback as a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Mailing feedback to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Giving (quick) oral feedback to students at the workplace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Feedback on attitude, understanding and communication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(Too much) feedback on techniques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Feedback on reflection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Feedback oral or written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Writing feedback as a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Feedback seen as formative or summative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Giving feedback as an educator according to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Feedback about the guidance of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Feedback in a portfolio of newly graduated healthcare professionals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Reading feedback of mentors by educators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Asking feedback as a student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Moments when feedback can be requested as a student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Difficulties with receiving feedback of mentors as a student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The use of feedback of mentors for the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The use of feedback of educators for the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Lack of time to give feedback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Feedback on content is given by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Mentors ask students to first write feedback down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Mentors don’t want to hurt a student’s feelings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Mentors want to motivate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Writing oral feedback is not always easy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Not receiving and writing down feedback causes difficult assessments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Superficial feedback by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Quickly writing down feedback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Quickly writing down feedback by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Too little feedback of educators according to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Writing feedback at home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Difference between feedback on paper and digital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Careful feedback of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Growth in reflections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Growth 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Growth portfolio by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Growth portfolio is being forgotten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Mentors have too little skills to give good quality feedback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Personal development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Not recognizing the emotions of students during by the educational institution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Professional development of the student as a course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Skilled companionship – personal growth during internships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Only time for reflection during assessments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(Too little) reflection on competency growth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Training of mentors to give good quality feedback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Internal training of mentors at the workplace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Content of the training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Timing of the training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Amount of training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Self-assessment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Step 5 - Summative Assessment of Individual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Share of mentor during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Global assessment of internship by different assessment moments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(too little) clear assessment criteria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Final decision usually goes well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Final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Assessment using a scale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Assessment by mentor, not executive healthcare professional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Assessment in associate degree nursing programs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Share of all parties during assessments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Assessment after three months of work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Assessment of competency growth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Assessment of portfolio itself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Use of feedback of mentor for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Use of feedback of educator for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Mentors have no share in giving grades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Right grade is important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Skill list is used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Not writing down feedback causes difficulties during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Unclarity about who gives grades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Discrepancies between the grades of mentors and educators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Giving grades is not necessary for students according to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Giving grades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Giving grades as a mentor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Internship reports are not reflection reports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Summative assessment of predefined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Mid-term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mid-term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Responsibility of giving grades of mentors and educators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Different assessment for technical and generic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Who completes the assessment forms?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Variety in systems, documentation, feedback and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uniform assessment criteria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uniform documents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 use of an ePortfolio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 uniform system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 uniformity between educational programs and institutions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Standardized form for reflection and feedback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Necessary uniformity for forms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uniform digital media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 uniform form for feedback and assessment in the past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Changing internship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 lot of change in internship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Little change in internship assessment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Step 6 - Summative Assessment of Global Professional Competence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(Too little) competency growth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Summative assessment of predefined competencies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2CC" w:themeFill="accent4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use of ePortfolios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Wait and see how the ePortfolio works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Barriers when using ePortfolios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Extra time burden when using ePortfolios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Disadvantages feedback and assessment of newly graduated healthcare professionals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Paper or PC not present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Setting is crucial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Using a(n) (e)Portfolio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use of Medbook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Implementation of an ePortfolio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Disadvantages of using Medbook with a group account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Training to use an ePortfolio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Different view of ePortfolio by student, mentor, and educator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Medbook is used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Taking the ePortfolio to next internships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Disadvantages 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Onedrive as an ePortfolio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Training to use an ePortfolio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Access to the ePortfolio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Access of mentor to the ePortfolio of a student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Use of internship documents by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Access to internship documents by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Access to reflection and feedback by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Access to reflection and feedback by educators according to mentors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Types of (e)Portfolio systems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platform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Paper 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Feedback and reflection on paper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Assessment on paper of newly graduated healthcare professionals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Portfolio as an internship folder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'Portfolio’ on paper but input (e.g. feedback) digital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Feedback portfolio for newly graduated healthcare professionals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FFBF7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13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Writing down feedback now and then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Explaining the use of the ePortfolio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Expectations towards ePortfolios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ePortfolios need to be time efficient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ePortfolios might offer solutions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Availability of PC is necessary at the workplace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Choosing the content of the ePortfolio after graduation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45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Advantages of ePortfolio use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Overview of assessment and progress of students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Advantages Medbook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Advantages of using a rubric</w:t>
            </w:r>
          </w:p>
        </w:tc>
      </w:tr>
      <w:tr>
        <w:trPr/>
        <w:tc>
          <w:tcPr>
            <w:tcW w:w="14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CEEE4" w:val="clear"/>
            <w:vAlign w:val="center"/>
          </w:tcPr>
          <w:p>
            <w:pPr>
              <w:pStyle w:val="Normal"/>
              <w:widowControl w:val="false"/>
              <w:spacing w:before="0" w:after="160"/>
              <w:ind w:left="900" w:hanging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The contexts were ePortfolios can be used in</w:t>
            </w:r>
          </w:p>
        </w:tc>
      </w:tr>
    </w:tbl>
    <w:p>
      <w:pPr>
        <w:pStyle w:val="Normal"/>
        <w:rPr>
          <w:rFonts w:ascii="Times New Roman" w:hAnsi="Times New Roman" w:cs="Times New Roman"/>
          <w:bCs/>
          <w:color w:val="333333"/>
          <w:shd w:fill="FFFFFF" w:val="clear"/>
          <w:lang w:val="en-US"/>
        </w:rPr>
      </w:pPr>
      <w:r>
        <w:rPr>
          <w:rFonts w:cs="Times New Roman" w:ascii="Times New Roman" w:hAnsi="Times New Roman"/>
          <w:bCs/>
          <w:color w:val="333333"/>
          <w:shd w:fill="FFFFFF" w:val="clear"/>
          <w:lang w:val="en-US"/>
        </w:rPr>
      </w:r>
    </w:p>
    <w:p>
      <w:pPr>
        <w:pStyle w:val="Normal"/>
        <w:spacing w:before="0" w:after="160"/>
        <w:rPr>
          <w:lang w:val="en-US"/>
        </w:rPr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B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l-B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36f6"/>
    <w:pPr>
      <w:widowControl/>
      <w:bidi w:val="0"/>
      <w:spacing w:lineRule="auto" w:line="259" w:before="0" w:after="160"/>
      <w:jc w:val="left"/>
    </w:pPr>
    <w:rPr>
      <w:rFonts w:ascii="Calibri" w:hAnsi="Calibri" w:cs="Calibri" w:eastAsia="Calibri" w:asciiTheme="minorHAnsi" w:eastAsiaTheme="minorHAnsi" w:hAnsiTheme="minorHAnsi"/>
      <w:color w:val="auto"/>
      <w:kern w:val="0"/>
      <w:sz w:val="22"/>
      <w:szCs w:val="22"/>
      <w:lang w:val="nl-B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CodebookTitle" w:customStyle="1">
    <w:name w:val="Codebook Title"/>
    <w:qFormat/>
    <w:rsid w:val="007b36f6"/>
    <w:pPr>
      <w:widowControl/>
      <w:bidi w:val="0"/>
      <w:spacing w:lineRule="auto" w:line="259" w:before="0" w:after="160"/>
      <w:jc w:val="center"/>
    </w:pPr>
    <w:rPr>
      <w:rFonts w:ascii="Calibri Light" w:hAnsi="Calibri Light" w:eastAsia="" w:cs="" w:asciiTheme="majorHAnsi" w:cstheme="majorBidi" w:eastAsiaTheme="majorEastAsia" w:hAnsiTheme="majorHAnsi"/>
      <w:color w:val="5B9BD5"/>
      <w:kern w:val="0"/>
      <w:sz w:val="48"/>
      <w:szCs w:val="48"/>
      <w:lang w:val="en-AU" w:eastAsia="ja-JP" w:bidi="ar-SA"/>
    </w:rPr>
  </w:style>
  <w:style w:type="paragraph" w:styleId="TableHeader" w:customStyle="1">
    <w:name w:val="Table Header"/>
    <w:qFormat/>
    <w:rsid w:val="007b36f6"/>
    <w:pPr>
      <w:widowControl/>
      <w:bidi w:val="0"/>
      <w:spacing w:lineRule="auto" w:line="259" w:before="0" w:after="160"/>
      <w:jc w:val="left"/>
    </w:pPr>
    <w:rPr>
      <w:rFonts w:ascii="Calibri Light" w:hAnsi="Calibri Light" w:eastAsia="" w:cs="" w:asciiTheme="majorHAnsi" w:cstheme="majorBidi" w:eastAsiaTheme="majorEastAsia" w:hAnsiTheme="majorHAnsi"/>
      <w:color w:val="FFFFFF"/>
      <w:kern w:val="0"/>
      <w:sz w:val="22"/>
      <w:szCs w:val="22"/>
      <w:lang w:val="en-AU" w:eastAsia="ja-JP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EAECACB030AD418A5971B56B6CF5FC" ma:contentTypeVersion="14" ma:contentTypeDescription="Een nieuw document maken." ma:contentTypeScope="" ma:versionID="5c4e1310bbdb5b90b521fcad1de3b183">
  <xsd:schema xmlns:xsd="http://www.w3.org/2001/XMLSchema" xmlns:xs="http://www.w3.org/2001/XMLSchema" xmlns:p="http://schemas.microsoft.com/office/2006/metadata/properties" xmlns:ns3="b01136b8-884f-45b7-9f2d-62f7c93edd81" xmlns:ns4="0e845480-ad28-4570-9f68-a95bbdf6ccb1" targetNamespace="http://schemas.microsoft.com/office/2006/metadata/properties" ma:root="true" ma:fieldsID="612af57882ac259b2f5ea79f82c4afff" ns3:_="" ns4:_="">
    <xsd:import namespace="b01136b8-884f-45b7-9f2d-62f7c93edd81"/>
    <xsd:import namespace="0e845480-ad28-4570-9f68-a95bbdf6cc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136b8-884f-45b7-9f2d-62f7c93ed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45480-ad28-4570-9f68-a95bbdf6c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750F6F-DDF4-4A39-BD24-7B7F0BFDD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136b8-884f-45b7-9f2d-62f7c93edd81"/>
    <ds:schemaRef ds:uri="0e845480-ad28-4570-9f68-a95bbdf6c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2F1BCF-3FEB-4DFD-ADD3-00C72735F8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7B877-1095-4172-9911-A934B7CD1EFA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0e845480-ad28-4570-9f68-a95bbdf6ccb1"/>
    <ds:schemaRef ds:uri="http://purl.org/dc/elements/1.1/"/>
    <ds:schemaRef ds:uri="b01136b8-884f-45b7-9f2d-62f7c93edd8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LibreOffice/7.4.1.2$Windows_X86_64 LibreOffice_project/3c58a8f3a960df8bc8fd77b461821e42c061c5f0</Application>
  <AppVersion>15.0000</AppVersion>
  <Pages>16</Pages>
  <Words>1729</Words>
  <Characters>10631</Characters>
  <CharactersWithSpaces>12078</CharactersWithSpaces>
  <Paragraphs>303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2022-11-15T11:15:00Z</dcterms:created>
  <dc:creator>Oona Janssens</dc:creator>
  <dc:description/>
  <dc:language>en-IN</dc:language>
  <cp:lastModifiedBy>Oona Janssens</cp:lastModifiedBy>
  <dcterms:modified xsi:type="dcterms:W3CDTF">2023-03-14T16:58:00Z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0x01010027EAECACB030AD418A5971B56B6CF5FC</vt:lpwstr>
  </property>
</Properties>
</file>