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9B" w:rsidRPr="001F089B" w:rsidRDefault="001F089B" w:rsidP="001F089B">
      <w:r w:rsidRPr="001F089B">
        <w:t>Appendix 1: The Stories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F089B" w:rsidRPr="001F089B" w:rsidTr="00F303D7">
        <w:tc>
          <w:tcPr>
            <w:tcW w:w="13176" w:type="dxa"/>
          </w:tcPr>
          <w:p w:rsidR="001F089B" w:rsidRPr="001F089B" w:rsidRDefault="001F089B" w:rsidP="001F089B">
            <w:r w:rsidRPr="001F089B">
              <w:t xml:space="preserve">The first session: " </w:t>
            </w:r>
            <w:proofErr w:type="spellStart"/>
            <w:r w:rsidRPr="001F089B">
              <w:t>Arosak</w:t>
            </w:r>
            <w:proofErr w:type="spellEnd"/>
            <w:r w:rsidRPr="001F089B">
              <w:t xml:space="preserve">- e- </w:t>
            </w:r>
            <w:proofErr w:type="spellStart"/>
            <w:r w:rsidRPr="001F089B">
              <w:t>Foroshi</w:t>
            </w:r>
            <w:proofErr w:type="spellEnd"/>
            <w:r w:rsidRPr="001F089B">
              <w:t xml:space="preserve">” (1965), </w:t>
            </w:r>
            <w:proofErr w:type="spellStart"/>
            <w:r w:rsidRPr="001F089B">
              <w:t>Sadegh</w:t>
            </w:r>
            <w:proofErr w:type="spellEnd"/>
            <w:r w:rsidRPr="001F089B">
              <w:t xml:space="preserve"> </w:t>
            </w:r>
            <w:proofErr w:type="spellStart"/>
            <w:r w:rsidRPr="001F089B">
              <w:t>Chubak</w:t>
            </w:r>
            <w:proofErr w:type="spellEnd"/>
            <w:r w:rsidRPr="001F089B">
              <w:t>, collection of stories “</w:t>
            </w:r>
            <w:proofErr w:type="spellStart"/>
            <w:r w:rsidRPr="001F089B">
              <w:t>Roze</w:t>
            </w:r>
            <w:proofErr w:type="spellEnd"/>
            <w:r w:rsidRPr="001F089B">
              <w:t xml:space="preserve"> </w:t>
            </w:r>
            <w:proofErr w:type="spellStart"/>
            <w:r w:rsidRPr="001F089B">
              <w:t>Avale</w:t>
            </w:r>
            <w:proofErr w:type="spellEnd"/>
            <w:r w:rsidRPr="001F089B">
              <w:t xml:space="preserve"> </w:t>
            </w:r>
            <w:proofErr w:type="spellStart"/>
            <w:r w:rsidRPr="001F089B">
              <w:t>Ghabr</w:t>
            </w:r>
            <w:proofErr w:type="spellEnd"/>
            <w:r w:rsidRPr="001F089B">
              <w:t>”, Scientific Publications (from the collection of short stories in Iran); Teaching the story elements of the topic, theme and  plot in realistic stories</w:t>
            </w:r>
          </w:p>
        </w:tc>
      </w:tr>
      <w:tr w:rsidR="001F089B" w:rsidRPr="001F089B" w:rsidTr="00F303D7">
        <w:tc>
          <w:tcPr>
            <w:tcW w:w="13176" w:type="dxa"/>
          </w:tcPr>
          <w:p w:rsidR="001F089B" w:rsidRPr="001F089B" w:rsidRDefault="001F089B" w:rsidP="001F089B">
            <w:r w:rsidRPr="001F089B">
              <w:t>The second session: “</w:t>
            </w:r>
            <w:proofErr w:type="spellStart"/>
            <w:r w:rsidRPr="001F089B">
              <w:t>Maraze</w:t>
            </w:r>
            <w:proofErr w:type="spellEnd"/>
            <w:r w:rsidRPr="001F089B">
              <w:t xml:space="preserve"> </w:t>
            </w:r>
            <w:proofErr w:type="spellStart"/>
            <w:r w:rsidRPr="001F089B">
              <w:t>Heyvan</w:t>
            </w:r>
            <w:proofErr w:type="spellEnd"/>
            <w:r w:rsidRPr="001F089B">
              <w:t xml:space="preserve">” (2007), </w:t>
            </w:r>
            <w:proofErr w:type="spellStart"/>
            <w:r w:rsidRPr="001F089B">
              <w:t>Peyman</w:t>
            </w:r>
            <w:proofErr w:type="spellEnd"/>
            <w:r w:rsidRPr="001F089B">
              <w:t xml:space="preserve"> </w:t>
            </w:r>
            <w:proofErr w:type="spellStart"/>
            <w:r w:rsidRPr="001F089B">
              <w:t>Esmaili</w:t>
            </w:r>
            <w:proofErr w:type="spellEnd"/>
            <w:r w:rsidRPr="001F089B">
              <w:t xml:space="preserve">, Collection of stories “Barf </w:t>
            </w:r>
            <w:proofErr w:type="spellStart"/>
            <w:r w:rsidRPr="001F089B">
              <w:t>va</w:t>
            </w:r>
            <w:proofErr w:type="spellEnd"/>
            <w:r w:rsidRPr="001F089B">
              <w:t xml:space="preserve"> </w:t>
            </w:r>
            <w:proofErr w:type="spellStart"/>
            <w:r w:rsidRPr="001F089B">
              <w:t>Samfoniye</w:t>
            </w:r>
            <w:proofErr w:type="spellEnd"/>
            <w:r w:rsidRPr="001F089B">
              <w:t xml:space="preserve"> </w:t>
            </w:r>
            <w:proofErr w:type="spellStart"/>
            <w:r w:rsidRPr="001F089B">
              <w:t>Abr</w:t>
            </w:r>
            <w:proofErr w:type="spellEnd"/>
            <w:r w:rsidRPr="001F089B">
              <w:t xml:space="preserve">”, </w:t>
            </w:r>
            <w:proofErr w:type="spellStart"/>
            <w:r w:rsidRPr="001F089B">
              <w:t>Cheshme</w:t>
            </w:r>
            <w:proofErr w:type="spellEnd"/>
            <w:r w:rsidRPr="001F089B">
              <w:t xml:space="preserve"> publication, winner of the 10th edition of the Press Critics Award 2008, winner of the  </w:t>
            </w:r>
            <w:proofErr w:type="spellStart"/>
            <w:r w:rsidRPr="001F089B">
              <w:t>the</w:t>
            </w:r>
            <w:proofErr w:type="spellEnd"/>
            <w:r w:rsidRPr="001F089B">
              <w:t xml:space="preserve"> best story collection from </w:t>
            </w:r>
            <w:proofErr w:type="spellStart"/>
            <w:r w:rsidRPr="001F089B">
              <w:t>Rozi</w:t>
            </w:r>
            <w:proofErr w:type="spellEnd"/>
            <w:r w:rsidRPr="001F089B">
              <w:t xml:space="preserve"> </w:t>
            </w:r>
            <w:proofErr w:type="spellStart"/>
            <w:r w:rsidRPr="001F089B">
              <w:t>Rozgari</w:t>
            </w:r>
            <w:proofErr w:type="spellEnd"/>
            <w:r w:rsidRPr="001F089B">
              <w:t xml:space="preserve"> Literary Award, </w:t>
            </w:r>
            <w:proofErr w:type="spellStart"/>
            <w:r w:rsidRPr="001F089B">
              <w:t>Golshiri</w:t>
            </w:r>
            <w:proofErr w:type="spellEnd"/>
            <w:r w:rsidRPr="001F089B">
              <w:t xml:space="preserve"> Foundation Award, and </w:t>
            </w:r>
            <w:proofErr w:type="spellStart"/>
            <w:r w:rsidRPr="001F089B">
              <w:t>Mehrgan</w:t>
            </w:r>
            <w:proofErr w:type="spellEnd"/>
            <w:r w:rsidRPr="001F089B">
              <w:t xml:space="preserve"> Award 2007; Teaching the elements of conversation and scene (story world), narration and multiple narrators</w:t>
            </w:r>
          </w:p>
        </w:tc>
      </w:tr>
      <w:tr w:rsidR="001F089B" w:rsidRPr="001F089B" w:rsidTr="00F303D7">
        <w:tc>
          <w:tcPr>
            <w:tcW w:w="13176" w:type="dxa"/>
          </w:tcPr>
          <w:p w:rsidR="001F089B" w:rsidRPr="001F089B" w:rsidRDefault="001F089B" w:rsidP="001F089B">
            <w:r w:rsidRPr="001F089B">
              <w:t>The third session: “</w:t>
            </w:r>
            <w:proofErr w:type="spellStart"/>
            <w:r w:rsidRPr="001F089B">
              <w:t>Mordeghan</w:t>
            </w:r>
            <w:proofErr w:type="spellEnd"/>
            <w:r w:rsidRPr="001F089B">
              <w:t xml:space="preserve">” (2004), Mohammad </w:t>
            </w:r>
            <w:proofErr w:type="spellStart"/>
            <w:r w:rsidRPr="001F089B">
              <w:t>Hossein</w:t>
            </w:r>
            <w:proofErr w:type="spellEnd"/>
            <w:r w:rsidRPr="001F089B">
              <w:t xml:space="preserve"> </w:t>
            </w:r>
            <w:proofErr w:type="spellStart"/>
            <w:r w:rsidRPr="001F089B">
              <w:t>Mohammadi</w:t>
            </w:r>
            <w:proofErr w:type="spellEnd"/>
            <w:r w:rsidRPr="001F089B">
              <w:t>, collection of stories “</w:t>
            </w:r>
            <w:proofErr w:type="spellStart"/>
            <w:r w:rsidRPr="001F089B">
              <w:t>Anjirhaye</w:t>
            </w:r>
            <w:proofErr w:type="spellEnd"/>
            <w:r w:rsidRPr="001F089B">
              <w:t xml:space="preserve"> </w:t>
            </w:r>
            <w:proofErr w:type="spellStart"/>
            <w:r w:rsidRPr="001F089B">
              <w:t>Sorkh</w:t>
            </w:r>
            <w:proofErr w:type="spellEnd"/>
            <w:r w:rsidRPr="001F089B">
              <w:t xml:space="preserve"> </w:t>
            </w:r>
            <w:proofErr w:type="spellStart"/>
            <w:r w:rsidRPr="001F089B">
              <w:t>Mazar</w:t>
            </w:r>
            <w:proofErr w:type="spellEnd"/>
            <w:r w:rsidRPr="001F089B">
              <w:t xml:space="preserve">”, published by </w:t>
            </w:r>
            <w:proofErr w:type="spellStart"/>
            <w:r w:rsidRPr="001F089B">
              <w:t>Cheshme</w:t>
            </w:r>
            <w:proofErr w:type="spellEnd"/>
            <w:r w:rsidRPr="001F089B">
              <w:t xml:space="preserve">, winner of the </w:t>
            </w:r>
            <w:proofErr w:type="spellStart"/>
            <w:r w:rsidRPr="001F089B">
              <w:t>Golshiri</w:t>
            </w:r>
            <w:proofErr w:type="spellEnd"/>
            <w:r w:rsidRPr="001F089B">
              <w:t xml:space="preserve"> Foundation prize in 2004; Familiarity with modern story and the element of perspective and its importance to understand the concept</w:t>
            </w:r>
          </w:p>
        </w:tc>
      </w:tr>
      <w:tr w:rsidR="001F089B" w:rsidRPr="001F089B" w:rsidTr="00F303D7">
        <w:tc>
          <w:tcPr>
            <w:tcW w:w="13176" w:type="dxa"/>
          </w:tcPr>
          <w:p w:rsidR="001F089B" w:rsidRPr="001F089B" w:rsidRDefault="001F089B" w:rsidP="001F089B">
            <w:pPr>
              <w:spacing w:line="276" w:lineRule="auto"/>
            </w:pPr>
            <w:r w:rsidRPr="001F089B">
              <w:t>The fourth session: “</w:t>
            </w:r>
            <w:proofErr w:type="spellStart"/>
            <w:r w:rsidRPr="001F089B">
              <w:t>Seporde</w:t>
            </w:r>
            <w:proofErr w:type="spellEnd"/>
            <w:r w:rsidRPr="001F089B">
              <w:t xml:space="preserve"> be </w:t>
            </w:r>
            <w:proofErr w:type="spellStart"/>
            <w:r w:rsidRPr="001F089B">
              <w:t>Zamin</w:t>
            </w:r>
            <w:proofErr w:type="spellEnd"/>
            <w:r w:rsidRPr="001F089B">
              <w:t xml:space="preserve">” (1994), </w:t>
            </w:r>
            <w:proofErr w:type="spellStart"/>
            <w:r w:rsidRPr="001F089B">
              <w:t>Bijan</w:t>
            </w:r>
            <w:proofErr w:type="spellEnd"/>
            <w:r w:rsidRPr="001F089B">
              <w:t xml:space="preserve"> </w:t>
            </w:r>
            <w:proofErr w:type="spellStart"/>
            <w:r w:rsidRPr="001F089B">
              <w:t>Najdi</w:t>
            </w:r>
            <w:proofErr w:type="spellEnd"/>
            <w:r w:rsidRPr="001F089B">
              <w:t>,  collection of stories “</w:t>
            </w:r>
            <w:proofErr w:type="spellStart"/>
            <w:r w:rsidRPr="001F089B">
              <w:t>Uzpalangani</w:t>
            </w:r>
            <w:proofErr w:type="spellEnd"/>
            <w:r w:rsidRPr="001F089B">
              <w:t xml:space="preserve"> </w:t>
            </w:r>
            <w:proofErr w:type="spellStart"/>
            <w:r w:rsidRPr="001F089B">
              <w:t>ke</w:t>
            </w:r>
            <w:proofErr w:type="spellEnd"/>
            <w:r w:rsidRPr="001F089B">
              <w:t xml:space="preserve"> </w:t>
            </w:r>
            <w:proofErr w:type="spellStart"/>
            <w:r w:rsidRPr="001F089B">
              <w:t>ba</w:t>
            </w:r>
            <w:proofErr w:type="spellEnd"/>
            <w:r w:rsidRPr="001F089B">
              <w:t xml:space="preserve"> Man </w:t>
            </w:r>
            <w:proofErr w:type="spellStart"/>
            <w:r w:rsidRPr="001F089B">
              <w:t>Davideand</w:t>
            </w:r>
            <w:proofErr w:type="spellEnd"/>
            <w:r w:rsidRPr="001F089B">
              <w:t xml:space="preserve">“, published by the Center, winner of the Golden Pen Award of the </w:t>
            </w:r>
            <w:proofErr w:type="spellStart"/>
            <w:r w:rsidRPr="001F089B">
              <w:t>Gerdon</w:t>
            </w:r>
            <w:proofErr w:type="spellEnd"/>
            <w:r w:rsidRPr="001F089B">
              <w:t xml:space="preserve"> Award 1995 (festival selection); Getting to know symbolic language in the modern lyrical story</w:t>
            </w:r>
          </w:p>
        </w:tc>
      </w:tr>
      <w:tr w:rsidR="001F089B" w:rsidRPr="001F089B" w:rsidTr="00F303D7">
        <w:tc>
          <w:tcPr>
            <w:tcW w:w="13176" w:type="dxa"/>
          </w:tcPr>
          <w:p w:rsidR="001F089B" w:rsidRPr="001F089B" w:rsidRDefault="001F089B" w:rsidP="001F089B">
            <w:pPr>
              <w:spacing w:line="276" w:lineRule="auto"/>
            </w:pPr>
            <w:r w:rsidRPr="001F089B">
              <w:t>The fifth session: “</w:t>
            </w:r>
            <w:proofErr w:type="spellStart"/>
            <w:r w:rsidRPr="001F089B">
              <w:t>Yekbar</w:t>
            </w:r>
            <w:proofErr w:type="spellEnd"/>
            <w:r w:rsidRPr="001F089B">
              <w:t xml:space="preserve"> Ham </w:t>
            </w:r>
            <w:proofErr w:type="spellStart"/>
            <w:r w:rsidRPr="001F089B">
              <w:t>Shode</w:t>
            </w:r>
            <w:proofErr w:type="spellEnd"/>
            <w:r w:rsidRPr="001F089B">
              <w:t xml:space="preserve"> </w:t>
            </w:r>
            <w:proofErr w:type="spellStart"/>
            <w:r w:rsidRPr="001F089B">
              <w:t>Sosun</w:t>
            </w:r>
            <w:proofErr w:type="spellEnd"/>
            <w:r w:rsidRPr="001F089B">
              <w:t xml:space="preserve"> </w:t>
            </w:r>
            <w:proofErr w:type="spellStart"/>
            <w:r w:rsidRPr="001F089B">
              <w:t>Ghosh</w:t>
            </w:r>
            <w:proofErr w:type="spellEnd"/>
            <w:r w:rsidRPr="001F089B">
              <w:t xml:space="preserve"> Bede” (2007), </w:t>
            </w:r>
            <w:proofErr w:type="spellStart"/>
            <w:r w:rsidRPr="001F089B">
              <w:t>Peyman</w:t>
            </w:r>
            <w:proofErr w:type="spellEnd"/>
            <w:r w:rsidRPr="001F089B">
              <w:t xml:space="preserve"> </w:t>
            </w:r>
            <w:proofErr w:type="spellStart"/>
            <w:r w:rsidRPr="001F089B">
              <w:t>Houshmandzadeh</w:t>
            </w:r>
            <w:proofErr w:type="spellEnd"/>
            <w:r w:rsidRPr="001F089B">
              <w:t xml:space="preserve">, collection of stories "Ha </w:t>
            </w:r>
            <w:proofErr w:type="spellStart"/>
            <w:r w:rsidRPr="001F089B">
              <w:t>Kardan</w:t>
            </w:r>
            <w:proofErr w:type="spellEnd"/>
            <w:r w:rsidRPr="001F089B">
              <w:t xml:space="preserve">", third edition, </w:t>
            </w:r>
            <w:proofErr w:type="spellStart"/>
            <w:r w:rsidRPr="001F089B">
              <w:t>Cheshme</w:t>
            </w:r>
            <w:proofErr w:type="spellEnd"/>
            <w:r w:rsidRPr="001F089B">
              <w:t xml:space="preserve"> Publishing House; Getting to know the element of character and characterization in modern fiction</w:t>
            </w:r>
          </w:p>
        </w:tc>
      </w:tr>
      <w:tr w:rsidR="001F089B" w:rsidRPr="001F089B" w:rsidTr="00F303D7">
        <w:tc>
          <w:tcPr>
            <w:tcW w:w="13176" w:type="dxa"/>
          </w:tcPr>
          <w:p w:rsidR="001F089B" w:rsidRPr="001F089B" w:rsidRDefault="001F089B" w:rsidP="001F089B">
            <w:pPr>
              <w:spacing w:line="276" w:lineRule="auto"/>
            </w:pPr>
            <w:r w:rsidRPr="001F089B">
              <w:t>The sixth session: “</w:t>
            </w:r>
            <w:proofErr w:type="spellStart"/>
            <w:r w:rsidRPr="001F089B">
              <w:t>Mizgerd</w:t>
            </w:r>
            <w:proofErr w:type="spellEnd"/>
            <w:r w:rsidRPr="001F089B">
              <w:t xml:space="preserve">“ (1997) by </w:t>
            </w:r>
            <w:proofErr w:type="spellStart"/>
            <w:r w:rsidRPr="001F089B">
              <w:t>Simin</w:t>
            </w:r>
            <w:proofErr w:type="spellEnd"/>
            <w:r w:rsidRPr="001F089B">
              <w:t xml:space="preserve"> </w:t>
            </w:r>
            <w:proofErr w:type="spellStart"/>
            <w:r w:rsidRPr="001F089B">
              <w:t>Daneshvar</w:t>
            </w:r>
            <w:proofErr w:type="spellEnd"/>
            <w:r w:rsidRPr="001F089B">
              <w:t>, collection of “</w:t>
            </w:r>
            <w:proofErr w:type="spellStart"/>
            <w:r w:rsidRPr="001F089B">
              <w:t>Az</w:t>
            </w:r>
            <w:proofErr w:type="spellEnd"/>
            <w:r w:rsidRPr="001F089B">
              <w:t xml:space="preserve"> </w:t>
            </w:r>
            <w:proofErr w:type="spellStart"/>
            <w:r w:rsidRPr="001F089B">
              <w:t>Parandegane</w:t>
            </w:r>
            <w:proofErr w:type="spellEnd"/>
            <w:r w:rsidRPr="001F089B">
              <w:t xml:space="preserve">  </w:t>
            </w:r>
            <w:proofErr w:type="spellStart"/>
            <w:r w:rsidRPr="001F089B">
              <w:t>Mohajer</w:t>
            </w:r>
            <w:proofErr w:type="spellEnd"/>
            <w:r w:rsidRPr="001F089B">
              <w:t xml:space="preserve"> </w:t>
            </w:r>
            <w:proofErr w:type="spellStart"/>
            <w:r w:rsidRPr="001F089B">
              <w:t>Bepors</w:t>
            </w:r>
            <w:proofErr w:type="spellEnd"/>
            <w:r w:rsidRPr="001F089B">
              <w:t>“ ,</w:t>
            </w:r>
            <w:proofErr w:type="spellStart"/>
            <w:r w:rsidRPr="001F089B">
              <w:t>Kanoon</w:t>
            </w:r>
            <w:proofErr w:type="spellEnd"/>
            <w:r w:rsidRPr="001F089B">
              <w:t xml:space="preserve">  New Publications (from the collection of short stories in Iran); Familiarity with the postmodern story, Plot and its components</w:t>
            </w:r>
          </w:p>
        </w:tc>
      </w:tr>
    </w:tbl>
    <w:p w:rsidR="00D70DC2" w:rsidRDefault="001F089B"/>
    <w:sectPr w:rsidR="00D70D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9B"/>
    <w:rsid w:val="001F089B"/>
    <w:rsid w:val="00271C63"/>
    <w:rsid w:val="0089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08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08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Drghorbani</dc:creator>
  <cp:lastModifiedBy>Drghorbani</cp:lastModifiedBy>
  <cp:revision>1</cp:revision>
  <dcterms:created xsi:type="dcterms:W3CDTF">2023-09-05T06:39:00Z</dcterms:created>
  <dcterms:modified xsi:type="dcterms:W3CDTF">2023-09-05T06:40:00Z</dcterms:modified>
</cp:coreProperties>
</file>