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FB84A" w14:textId="591572D7" w:rsidR="004C2021" w:rsidRPr="004C2021" w:rsidRDefault="004C2021" w:rsidP="004C2021">
      <w:pPr>
        <w:rPr>
          <w:rFonts w:ascii="Cambria" w:hAnsi="Cambria"/>
          <w:b/>
          <w:bCs/>
          <w:kern w:val="0"/>
          <w14:ligatures w14:val="none"/>
        </w:rPr>
      </w:pPr>
      <w:bookmarkStart w:id="0" w:name="_Hlk158707136"/>
      <w:r w:rsidRPr="004C2021">
        <w:rPr>
          <w:rFonts w:ascii="Cambria" w:hAnsi="Cambria"/>
          <w:b/>
          <w:bCs/>
          <w:kern w:val="0"/>
          <w14:ligatures w14:val="none"/>
        </w:rPr>
        <w:t xml:space="preserve">Appendix </w:t>
      </w:r>
      <w:r w:rsidR="00844F20">
        <w:rPr>
          <w:rFonts w:ascii="Cambria" w:hAnsi="Cambria"/>
          <w:b/>
          <w:bCs/>
          <w:kern w:val="0"/>
          <w14:ligatures w14:val="none"/>
        </w:rPr>
        <w:t>A</w:t>
      </w:r>
    </w:p>
    <w:bookmarkEnd w:id="0"/>
    <w:p w14:paraId="338DF8E7" w14:textId="77777777" w:rsidR="004C2021" w:rsidRPr="00790E03" w:rsidRDefault="004C2021" w:rsidP="004C2021">
      <w:pPr>
        <w:rPr>
          <w:rFonts w:ascii="Cambria" w:hAnsi="Cambria"/>
          <w:b/>
          <w:bCs/>
          <w:kern w:val="0"/>
          <w:sz w:val="22"/>
          <w:szCs w:val="22"/>
          <w14:ligatures w14:val="none"/>
        </w:rPr>
      </w:pPr>
      <w:r w:rsidRPr="00790E03">
        <w:rPr>
          <w:rFonts w:ascii="Cambria" w:hAnsi="Cambria"/>
          <w:b/>
          <w:bCs/>
          <w:kern w:val="0"/>
          <w:sz w:val="22"/>
          <w:szCs w:val="22"/>
          <w14:ligatures w14:val="none"/>
        </w:rPr>
        <w:t>Results of critical appraisal for Randomised Controlled Trials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09"/>
        <w:gridCol w:w="567"/>
        <w:gridCol w:w="567"/>
        <w:gridCol w:w="567"/>
        <w:gridCol w:w="564"/>
        <w:gridCol w:w="708"/>
        <w:gridCol w:w="708"/>
        <w:gridCol w:w="708"/>
        <w:gridCol w:w="714"/>
        <w:gridCol w:w="708"/>
        <w:gridCol w:w="709"/>
        <w:gridCol w:w="567"/>
        <w:gridCol w:w="709"/>
        <w:gridCol w:w="2257"/>
      </w:tblGrid>
      <w:tr w:rsidR="004C2021" w:rsidRPr="0062517C" w14:paraId="705AA121" w14:textId="77777777" w:rsidTr="00042C36">
        <w:trPr>
          <w:trHeight w:val="547"/>
        </w:trPr>
        <w:tc>
          <w:tcPr>
            <w:tcW w:w="13876" w:type="dxa"/>
            <w:gridSpan w:val="15"/>
            <w:shd w:val="clear" w:color="auto" w:fill="83CAEB" w:themeFill="accent1" w:themeFillTint="66"/>
          </w:tcPr>
          <w:p w14:paraId="751CE3C3" w14:textId="77777777" w:rsidR="004C2021" w:rsidRPr="004C2021" w:rsidRDefault="004C2021" w:rsidP="00042C36">
            <w:pPr>
              <w:tabs>
                <w:tab w:val="left" w:pos="3231"/>
                <w:tab w:val="center" w:pos="6830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bookmarkStart w:id="1" w:name="_Hlk126738592"/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JBI checklist criteria (potential bias)</w:t>
            </w:r>
          </w:p>
        </w:tc>
      </w:tr>
      <w:tr w:rsidR="004C2021" w:rsidRPr="004C2021" w14:paraId="1F9FD246" w14:textId="77777777" w:rsidTr="004C2021">
        <w:tc>
          <w:tcPr>
            <w:tcW w:w="3114" w:type="dxa"/>
            <w:shd w:val="clear" w:color="auto" w:fill="C1E4F5" w:themeFill="accent1" w:themeFillTint="33"/>
          </w:tcPr>
          <w:p w14:paraId="5FE46167" w14:textId="77777777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bookmarkStart w:id="2" w:name="_Hlk126739021"/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Main author</w:t>
            </w:r>
          </w:p>
        </w:tc>
        <w:tc>
          <w:tcPr>
            <w:tcW w:w="709" w:type="dxa"/>
            <w:shd w:val="clear" w:color="auto" w:fill="C1E4F5" w:themeFill="accent1" w:themeFillTint="33"/>
          </w:tcPr>
          <w:p w14:paraId="57799458" w14:textId="77777777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1</w:t>
            </w:r>
          </w:p>
        </w:tc>
        <w:tc>
          <w:tcPr>
            <w:tcW w:w="567" w:type="dxa"/>
            <w:shd w:val="clear" w:color="auto" w:fill="C1E4F5" w:themeFill="accent1" w:themeFillTint="33"/>
          </w:tcPr>
          <w:p w14:paraId="6E3CCB55" w14:textId="77777777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2</w:t>
            </w:r>
          </w:p>
        </w:tc>
        <w:tc>
          <w:tcPr>
            <w:tcW w:w="567" w:type="dxa"/>
            <w:shd w:val="clear" w:color="auto" w:fill="C1E4F5" w:themeFill="accent1" w:themeFillTint="33"/>
          </w:tcPr>
          <w:p w14:paraId="2D517424" w14:textId="77777777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3</w:t>
            </w:r>
          </w:p>
        </w:tc>
        <w:tc>
          <w:tcPr>
            <w:tcW w:w="567" w:type="dxa"/>
            <w:shd w:val="clear" w:color="auto" w:fill="C1E4F5" w:themeFill="accent1" w:themeFillTint="33"/>
          </w:tcPr>
          <w:p w14:paraId="28E15116" w14:textId="77777777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4</w:t>
            </w:r>
          </w:p>
        </w:tc>
        <w:tc>
          <w:tcPr>
            <w:tcW w:w="564" w:type="dxa"/>
            <w:shd w:val="clear" w:color="auto" w:fill="C1E4F5" w:themeFill="accent1" w:themeFillTint="33"/>
          </w:tcPr>
          <w:p w14:paraId="66F081D2" w14:textId="77777777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5</w:t>
            </w:r>
          </w:p>
        </w:tc>
        <w:tc>
          <w:tcPr>
            <w:tcW w:w="708" w:type="dxa"/>
            <w:shd w:val="clear" w:color="auto" w:fill="C1E4F5" w:themeFill="accent1" w:themeFillTint="33"/>
          </w:tcPr>
          <w:p w14:paraId="33B14469" w14:textId="77777777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6</w:t>
            </w:r>
          </w:p>
        </w:tc>
        <w:tc>
          <w:tcPr>
            <w:tcW w:w="708" w:type="dxa"/>
            <w:shd w:val="clear" w:color="auto" w:fill="C1E4F5" w:themeFill="accent1" w:themeFillTint="33"/>
          </w:tcPr>
          <w:p w14:paraId="329A31EF" w14:textId="77777777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7</w:t>
            </w:r>
          </w:p>
        </w:tc>
        <w:tc>
          <w:tcPr>
            <w:tcW w:w="708" w:type="dxa"/>
            <w:shd w:val="clear" w:color="auto" w:fill="C1E4F5" w:themeFill="accent1" w:themeFillTint="33"/>
          </w:tcPr>
          <w:p w14:paraId="607A63BB" w14:textId="77777777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8</w:t>
            </w:r>
          </w:p>
        </w:tc>
        <w:tc>
          <w:tcPr>
            <w:tcW w:w="714" w:type="dxa"/>
            <w:shd w:val="clear" w:color="auto" w:fill="C1E4F5" w:themeFill="accent1" w:themeFillTint="33"/>
          </w:tcPr>
          <w:p w14:paraId="5250E8D4" w14:textId="77777777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9</w:t>
            </w:r>
          </w:p>
        </w:tc>
        <w:tc>
          <w:tcPr>
            <w:tcW w:w="708" w:type="dxa"/>
            <w:shd w:val="clear" w:color="auto" w:fill="C1E4F5" w:themeFill="accent1" w:themeFillTint="33"/>
          </w:tcPr>
          <w:p w14:paraId="0500FC70" w14:textId="77777777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10</w:t>
            </w:r>
          </w:p>
        </w:tc>
        <w:tc>
          <w:tcPr>
            <w:tcW w:w="709" w:type="dxa"/>
            <w:shd w:val="clear" w:color="auto" w:fill="C1E4F5" w:themeFill="accent1" w:themeFillTint="33"/>
          </w:tcPr>
          <w:p w14:paraId="11E10BFD" w14:textId="77777777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11</w:t>
            </w:r>
          </w:p>
        </w:tc>
        <w:tc>
          <w:tcPr>
            <w:tcW w:w="567" w:type="dxa"/>
            <w:shd w:val="clear" w:color="auto" w:fill="C1E4F5" w:themeFill="accent1" w:themeFillTint="33"/>
          </w:tcPr>
          <w:p w14:paraId="01959E57" w14:textId="77777777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12</w:t>
            </w:r>
          </w:p>
        </w:tc>
        <w:tc>
          <w:tcPr>
            <w:tcW w:w="709" w:type="dxa"/>
            <w:shd w:val="clear" w:color="auto" w:fill="C1E4F5" w:themeFill="accent1" w:themeFillTint="33"/>
          </w:tcPr>
          <w:p w14:paraId="63E81046" w14:textId="77777777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13</w:t>
            </w:r>
          </w:p>
        </w:tc>
        <w:tc>
          <w:tcPr>
            <w:tcW w:w="2257" w:type="dxa"/>
            <w:shd w:val="clear" w:color="auto" w:fill="C1E4F5" w:themeFill="accent1" w:themeFillTint="33"/>
          </w:tcPr>
          <w:p w14:paraId="58C52EC3" w14:textId="77777777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(%) and quality rating*</w:t>
            </w:r>
          </w:p>
        </w:tc>
      </w:tr>
      <w:bookmarkEnd w:id="2"/>
      <w:tr w:rsidR="004C2021" w:rsidRPr="004C2021" w14:paraId="637AD9C3" w14:textId="77777777" w:rsidTr="00363613">
        <w:tc>
          <w:tcPr>
            <w:tcW w:w="3114" w:type="dxa"/>
            <w:shd w:val="clear" w:color="auto" w:fill="C1E4F5" w:themeFill="accent1" w:themeFillTint="33"/>
          </w:tcPr>
          <w:p w14:paraId="51527C54" w14:textId="058B63C5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AuthorYear="1"&gt;&lt;Author&gt;Araújo&lt;/Author&gt;&lt;Year&gt;2021&lt;/Year&gt;&lt;RecNum&gt;19&lt;/RecNum&gt;&lt;DisplayText&gt;Araújo, Medeiros (34)&lt;/DisplayText&gt;&lt;record&gt;&lt;rec-number&gt;19&lt;/rec-number&gt;&lt;foreign-keys&gt;&lt;key app="EN" db-id="ff0p05rvpv5x96etrdlxzddjvsddsdpve2dr" timestamp="1662545963"&gt;19&lt;/key&gt;&lt;/foreign-keys&gt;&lt;ref-type name="Journal Article"&gt;17&lt;/ref-type&gt;&lt;contributors&gt;&lt;authors&gt;&lt;author&gt;Araújo, Marília Souto de&lt;/author&gt;&lt;author&gt;Medeiros, Soraya Maria de&lt;/author&gt;&lt;author&gt;Costa, Raphael Raniere de Oliveira&lt;/author&gt;&lt;author&gt;Coutinho, Verónica Rita Dias&lt;/author&gt;&lt;author&gt;Mazzo, Alessandra&lt;/author&gt;&lt;author&gt;Sousa, Yanna Gomes de&lt;/author&gt;&lt;/authors&gt;&lt;/contributors&gt;&lt;titles&gt;&lt;title&gt;Effect of clinical simulation on the knowledge retention of nursing students&lt;/title&gt;&lt;secondary-title&gt;Acta Paulista de Enfermagem&lt;/secondary-title&gt;&lt;/titles&gt;&lt;periodical&gt;&lt;full-title&gt;Acta Paulista de Enfermagem&lt;/full-title&gt;&lt;/periodical&gt;&lt;volume&gt;34&lt;/volume&gt;&lt;dates&gt;&lt;year&gt;2021&lt;/year&gt;&lt;/dates&gt;&lt;isbn&gt;0103-2100&lt;/isbn&gt;&lt;urls&gt;&lt;/urls&gt;&lt;/record&gt;&lt;/Cite&gt;&lt;/EndNote&gt;</w:instrTex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Araújo, Medeiros (34)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709" w:type="dxa"/>
            <w:shd w:val="clear" w:color="auto" w:fill="00B050"/>
          </w:tcPr>
          <w:p w14:paraId="6478857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</w:tcPr>
          <w:p w14:paraId="7EA630F3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567" w:type="dxa"/>
            <w:shd w:val="clear" w:color="auto" w:fill="00B050"/>
          </w:tcPr>
          <w:p w14:paraId="48B0D5FC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</w:tcPr>
          <w:p w14:paraId="430DFA31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564" w:type="dxa"/>
          </w:tcPr>
          <w:p w14:paraId="0A43F4E2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708" w:type="dxa"/>
          </w:tcPr>
          <w:p w14:paraId="6C1635B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708" w:type="dxa"/>
            <w:shd w:val="clear" w:color="auto" w:fill="00B050"/>
          </w:tcPr>
          <w:p w14:paraId="2B18002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52CBB5DC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14" w:type="dxa"/>
            <w:shd w:val="clear" w:color="auto" w:fill="00B050"/>
          </w:tcPr>
          <w:p w14:paraId="6C0C87E5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37C64744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4CA8C4E8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0196E3E2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14B10249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2257" w:type="dxa"/>
          </w:tcPr>
          <w:p w14:paraId="65B1724D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9/13 (69%) Moderate</w:t>
            </w:r>
          </w:p>
        </w:tc>
      </w:tr>
      <w:tr w:rsidR="004C2021" w:rsidRPr="004C2021" w14:paraId="07C1961A" w14:textId="77777777" w:rsidTr="00363613">
        <w:tc>
          <w:tcPr>
            <w:tcW w:w="3114" w:type="dxa"/>
            <w:shd w:val="clear" w:color="auto" w:fill="C1E4F5" w:themeFill="accent1" w:themeFillTint="33"/>
          </w:tcPr>
          <w:p w14:paraId="7B00F1A4" w14:textId="30F6D35A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AuthorYear="1"&gt;&lt;Author&gt;Arrogante&lt;/Author&gt;&lt;Year&gt;2021&lt;/Year&gt;&lt;RecNum&gt;2&lt;/RecNum&gt;&lt;DisplayText&gt;Arrogante, Rios-Diaz (29)&lt;/DisplayText&gt;&lt;record&gt;&lt;rec-number&gt;2&lt;/rec-number&gt;&lt;foreign-keys&gt;&lt;key app="EN" db-id="ff0p05rvpv5x96etrdlxzddjvsddsdpve2dr" timestamp="1662542675"&gt;2&lt;/key&gt;&lt;/foreign-keys&gt;&lt;ref-type name="Journal Article"&gt;17&lt;/ref-type&gt;&lt;contributors&gt;&lt;authors&gt;&lt;author&gt;Arrogante, Oscar&lt;/author&gt;&lt;author&gt;Rios-Diaz, Jose&lt;/author&gt;&lt;author&gt;Carrion-Garcia, Laura&lt;/author&gt;&lt;author&gt;Samith, Sabrina&lt;/author&gt;&lt;author&gt;Gonzalez-Romero, Gracia Maria&lt;/author&gt;&lt;author&gt;Caperos, José Manuel&lt;/author&gt;&lt;/authors&gt;&lt;/contributors&gt;&lt;titles&gt;&lt;title&gt;Deliberate practice in resuscitation training using a feedback device, and the effects of the physical characteristics of the rescuer on the acquisition and retention of cardiopulmonary resuscitation skills: Randomized clinical trial&lt;/title&gt;&lt;secondary-title&gt;International Emergency Nursing&lt;/secondary-title&gt;&lt;/titles&gt;&lt;periodical&gt;&lt;full-title&gt;International Emergency Nursing&lt;/full-title&gt;&lt;/periodical&gt;&lt;pages&gt;101037&lt;/pages&gt;&lt;volume&gt;58&lt;/volume&gt;&lt;dates&gt;&lt;year&gt;2021&lt;/year&gt;&lt;/dates&gt;&lt;isbn&gt;1755-599X&lt;/isbn&gt;&lt;urls&gt;&lt;/urls&gt;&lt;/record&gt;&lt;/Cite&gt;&lt;/EndNote&gt;</w:instrTex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Arrogante, Rios-Diaz (29)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709" w:type="dxa"/>
            <w:shd w:val="clear" w:color="auto" w:fill="00B050"/>
          </w:tcPr>
          <w:p w14:paraId="6E431EA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FF0000"/>
          </w:tcPr>
          <w:p w14:paraId="1FFCEE07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567" w:type="dxa"/>
            <w:shd w:val="clear" w:color="auto" w:fill="00B050"/>
          </w:tcPr>
          <w:p w14:paraId="45443CE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FF0000"/>
          </w:tcPr>
          <w:p w14:paraId="65E1A397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564" w:type="dxa"/>
            <w:shd w:val="clear" w:color="auto" w:fill="00B050"/>
          </w:tcPr>
          <w:p w14:paraId="1C4DB5B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6C42045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3BADD1B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1653AF1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14" w:type="dxa"/>
            <w:shd w:val="clear" w:color="auto" w:fill="00B050"/>
          </w:tcPr>
          <w:p w14:paraId="23714CD1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4C9CB5A2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32F0DB2C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5D150039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</w:tcPr>
          <w:p w14:paraId="09B6715D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2257" w:type="dxa"/>
          </w:tcPr>
          <w:p w14:paraId="3727AA6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10/13 (77%) Moderate</w:t>
            </w:r>
          </w:p>
        </w:tc>
      </w:tr>
      <w:tr w:rsidR="004C2021" w:rsidRPr="004C2021" w14:paraId="1F037273" w14:textId="77777777" w:rsidTr="00363613">
        <w:tc>
          <w:tcPr>
            <w:tcW w:w="3114" w:type="dxa"/>
            <w:shd w:val="clear" w:color="auto" w:fill="C1E4F5" w:themeFill="accent1" w:themeFillTint="33"/>
          </w:tcPr>
          <w:p w14:paraId="28A82502" w14:textId="7B20BA9D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AuthorYear="1"&gt;&lt;Author&gt;Farsi&lt;/Author&gt;&lt;Year&gt;2021&lt;/Year&gt;&lt;RecNum&gt;7&lt;/RecNum&gt;&lt;DisplayText&gt;Farsi, Yazdani (42)&lt;/DisplayText&gt;&lt;record&gt;&lt;rec-number&gt;7&lt;/rec-number&gt;&lt;foreign-keys&gt;&lt;key app="EN" db-id="ff0p05rvpv5x96etrdlxzddjvsddsdpve2dr" timestamp="1662545000"&gt;7&lt;/key&gt;&lt;/foreign-keys&gt;&lt;ref-type name="Journal Article"&gt;17&lt;/ref-type&gt;&lt;contributors&gt;&lt;authors&gt;&lt;author&gt;Farsi, Zahra&lt;/author&gt;&lt;author&gt;Yazdani, Mahdieh&lt;/author&gt;&lt;author&gt;Butler, Samantha&lt;/author&gt;&lt;author&gt;Nezamzadeh, Maryam&lt;/author&gt;&lt;author&gt;Mirlashari, Jila&lt;/author&gt;&lt;/authors&gt;&lt;/contributors&gt;&lt;titles&gt;&lt;title&gt;Comparative effectiveness of simulation versus serious game for training nursing students in cardiopulmonary resuscitation: a randomized control trial&lt;/title&gt;&lt;secondary-title&gt;International Journal of Computer Games Technology&lt;/secondary-title&gt;&lt;/titles&gt;&lt;periodical&gt;&lt;full-title&gt;International Journal of Computer Games Technology&lt;/full-title&gt;&lt;/periodical&gt;&lt;volume&gt;2021&lt;/volume&gt;&lt;dates&gt;&lt;year&gt;2021&lt;/year&gt;&lt;/dates&gt;&lt;isbn&gt;1687-7047&lt;/isbn&gt;&lt;urls&gt;&lt;/urls&gt;&lt;/record&gt;&lt;/Cite&gt;&lt;/EndNote&gt;</w:instrTex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Farsi, Yazdani (42)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709" w:type="dxa"/>
            <w:shd w:val="clear" w:color="auto" w:fill="00B050"/>
          </w:tcPr>
          <w:p w14:paraId="55A09518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0C848B9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53ECF454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FF0000"/>
          </w:tcPr>
          <w:p w14:paraId="446622B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564" w:type="dxa"/>
            <w:shd w:val="clear" w:color="auto" w:fill="FF0000"/>
          </w:tcPr>
          <w:p w14:paraId="1D4F9FE7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708" w:type="dxa"/>
          </w:tcPr>
          <w:p w14:paraId="12B62255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708" w:type="dxa"/>
            <w:shd w:val="clear" w:color="auto" w:fill="00B050"/>
          </w:tcPr>
          <w:p w14:paraId="704FE04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435D10D7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14" w:type="dxa"/>
            <w:shd w:val="clear" w:color="auto" w:fill="00B050"/>
          </w:tcPr>
          <w:p w14:paraId="645BCF5C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312EF2A9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712008FF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7506030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</w:tcPr>
          <w:p w14:paraId="02AF7FC3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2257" w:type="dxa"/>
          </w:tcPr>
          <w:p w14:paraId="21C50953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9/13 (69%) Moderate</w:t>
            </w:r>
          </w:p>
        </w:tc>
      </w:tr>
      <w:tr w:rsidR="004C2021" w:rsidRPr="004C2021" w14:paraId="385E6AF2" w14:textId="77777777" w:rsidTr="00363613">
        <w:tc>
          <w:tcPr>
            <w:tcW w:w="3114" w:type="dxa"/>
            <w:shd w:val="clear" w:color="auto" w:fill="C1E4F5" w:themeFill="accent1" w:themeFillTint="33"/>
          </w:tcPr>
          <w:p w14:paraId="624A6038" w14:textId="238E516F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AuthorYear="1"&gt;&lt;Author&gt;Habibli&lt;/Author&gt;&lt;Year&gt;2020&lt;/Year&gt;&lt;RecNum&gt;10&lt;/RecNum&gt;&lt;DisplayText&gt;Habibli, Ghezeljeh (31)&lt;/DisplayText&gt;&lt;record&gt;&lt;rec-number&gt;10&lt;/rec-number&gt;&lt;foreign-keys&gt;&lt;key app="EN" db-id="ff0p05rvpv5x96etrdlxzddjvsddsdpve2dr" timestamp="1662545171"&gt;10&lt;/key&gt;&lt;/foreign-keys&gt;&lt;ref-type name="Journal Article"&gt;17&lt;/ref-type&gt;&lt;contributors&gt;&lt;authors&gt;&lt;author&gt;Habibli, Tahereh&lt;/author&gt;&lt;author&gt;Ghezeljeh, Tahereh Najafi&lt;/author&gt;&lt;author&gt;Haghani, Shima&lt;/author&gt;&lt;/authors&gt;&lt;/contributors&gt;&lt;titles&gt;&lt;title&gt;The effect of simulation-based education on nursing studentsâ knowledge and performance of adult basic cardiopulmonary resuscitation: A randomized clinical trial&lt;/title&gt;&lt;secondary-title&gt;Nursing Practice Today&lt;/secondary-title&gt;&lt;/titles&gt;&lt;periodical&gt;&lt;full-title&gt;Nursing Practice Today&lt;/full-title&gt;&lt;/periodical&gt;&lt;pages&gt;87-96&lt;/pages&gt;&lt;volume&gt;7&lt;/volume&gt;&lt;number&gt;2&lt;/number&gt;&lt;dates&gt;&lt;year&gt;2020&lt;/year&gt;&lt;/dates&gt;&lt;urls&gt;&lt;/urls&gt;&lt;/record&gt;&lt;/Cite&gt;&lt;/EndNote&gt;</w:instrTex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Habibli, Ghezeljeh (31)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709" w:type="dxa"/>
            <w:shd w:val="clear" w:color="auto" w:fill="00B050"/>
          </w:tcPr>
          <w:p w14:paraId="5A5A3842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FF0000"/>
          </w:tcPr>
          <w:p w14:paraId="522D15BD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567" w:type="dxa"/>
            <w:shd w:val="clear" w:color="auto" w:fill="00B050"/>
          </w:tcPr>
          <w:p w14:paraId="26A7E4B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</w:tcPr>
          <w:p w14:paraId="11FE9115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564" w:type="dxa"/>
          </w:tcPr>
          <w:p w14:paraId="6E10A07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708" w:type="dxa"/>
          </w:tcPr>
          <w:p w14:paraId="0EE95DF6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708" w:type="dxa"/>
            <w:shd w:val="clear" w:color="auto" w:fill="00B050"/>
          </w:tcPr>
          <w:p w14:paraId="29C660BD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3A79F93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14" w:type="dxa"/>
            <w:shd w:val="clear" w:color="auto" w:fill="00B050"/>
          </w:tcPr>
          <w:p w14:paraId="745B9D68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79B28F78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5236F5FD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2187CD71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</w:tcPr>
          <w:p w14:paraId="71E13C6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2257" w:type="dxa"/>
          </w:tcPr>
          <w:p w14:paraId="68D7C2F0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8/13 (62%) Moderate</w:t>
            </w:r>
          </w:p>
        </w:tc>
      </w:tr>
      <w:tr w:rsidR="004C2021" w:rsidRPr="004C2021" w14:paraId="4E7EDF3D" w14:textId="77777777" w:rsidTr="00363613">
        <w:tc>
          <w:tcPr>
            <w:tcW w:w="3114" w:type="dxa"/>
            <w:shd w:val="clear" w:color="auto" w:fill="C1E4F5" w:themeFill="accent1" w:themeFillTint="33"/>
          </w:tcPr>
          <w:p w14:paraId="1939A620" w14:textId="5A67D741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AuthorYear="1"&gt;&lt;Author&gt;Hardenberg&lt;/Author&gt;&lt;Year&gt;2019&lt;/Year&gt;&lt;RecNum&gt;11&lt;/RecNum&gt;&lt;DisplayText&gt;Hardenberg, Rana (30)&lt;/DisplayText&gt;&lt;record&gt;&lt;rec-number&gt;11&lt;/rec-number&gt;&lt;foreign-keys&gt;&lt;key app="EN" db-id="ff0p05rvpv5x96etrdlxzddjvsddsdpve2dr" timestamp="1662545216"&gt;11&lt;/key&gt;&lt;/foreign-keys&gt;&lt;ref-type name="Journal Article"&gt;17&lt;/ref-type&gt;&lt;contributors&gt;&lt;authors&gt;&lt;author&gt;Hardenberg, Joannet&lt;/author&gt;&lt;author&gt;Rana, Indrajeetsinh&lt;/author&gt;&lt;author&gt;Tori, Kathleen&lt;/author&gt;&lt;/authors&gt;&lt;/contributors&gt;&lt;titles&gt;&lt;title&gt;Simulation exposure improves clinical skills for postgraduate critical care nurses&lt;/title&gt;&lt;secondary-title&gt;Clinical Simulation in Nursing&lt;/secondary-title&gt;&lt;/titles&gt;&lt;periodical&gt;&lt;full-title&gt;Clinical Simulation in Nursing&lt;/full-title&gt;&lt;/periodical&gt;&lt;pages&gt;39-45&lt;/pages&gt;&lt;volume&gt;28&lt;/volume&gt;&lt;dates&gt;&lt;year&gt;2019&lt;/year&gt;&lt;/dates&gt;&lt;isbn&gt;1876-1399&lt;/isbn&gt;&lt;urls&gt;&lt;/urls&gt;&lt;/record&gt;&lt;/Cite&gt;&lt;/EndNote&gt;</w:instrTex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Hardenberg, Rana (30)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709" w:type="dxa"/>
            <w:shd w:val="clear" w:color="auto" w:fill="00B050"/>
          </w:tcPr>
          <w:p w14:paraId="53A6D5C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</w:tcPr>
          <w:p w14:paraId="4264A11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567" w:type="dxa"/>
            <w:shd w:val="clear" w:color="auto" w:fill="00B050"/>
          </w:tcPr>
          <w:p w14:paraId="2985C39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</w:tcPr>
          <w:p w14:paraId="0BADE4A2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564" w:type="dxa"/>
            <w:shd w:val="clear" w:color="auto" w:fill="00B050"/>
          </w:tcPr>
          <w:p w14:paraId="2928CDB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1D693F39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69AB41B3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6A04619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14" w:type="dxa"/>
            <w:shd w:val="clear" w:color="auto" w:fill="00B050"/>
          </w:tcPr>
          <w:p w14:paraId="4521D253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3D8E9185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21716D37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17779EE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</w:tcPr>
          <w:p w14:paraId="631838D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2257" w:type="dxa"/>
          </w:tcPr>
          <w:p w14:paraId="334A8FE4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10/13 (77%) Moderate</w:t>
            </w:r>
          </w:p>
        </w:tc>
      </w:tr>
      <w:tr w:rsidR="004C2021" w:rsidRPr="004C2021" w14:paraId="15C6D9F1" w14:textId="77777777" w:rsidTr="00363613">
        <w:tc>
          <w:tcPr>
            <w:tcW w:w="3114" w:type="dxa"/>
            <w:shd w:val="clear" w:color="auto" w:fill="C1E4F5" w:themeFill="accent1" w:themeFillTint="33"/>
          </w:tcPr>
          <w:p w14:paraId="744716F3" w14:textId="5C38B763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 w:rsidRPr="0024447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instrText xml:space="preserve"> ADDIN EN.CITE &lt;EndNote&gt;&lt;Cite AuthorYear="1"&gt;&lt;Author&gt;Ka Ling&lt;/Author&gt;&lt;Year&gt;2021&lt;/Year&gt;&lt;RecNum&gt;17&lt;/RecNum&gt;&lt;DisplayText&gt;Ka Ling, Lim Binti Abdullah (33)&lt;/DisplayText&gt;&lt;record&gt;&lt;rec-number&gt;17&lt;/rec-number&gt;&lt;foreign-keys&gt;&lt;key app="EN" db-id="ff0p05rvpv5x96etrdlxzddjvsddsdpve2dr" timestamp="1662545851"&gt;17&lt;/key&gt;&lt;/foreign-keys&gt;&lt;ref-type name="Journal Article"&gt;17&lt;/ref-type&gt;&lt;contributors&gt;&lt;authors&gt;&lt;author&gt;Ka Ling, Fong&lt;/author&gt;&lt;author&gt;Lim Binti Abdullah, Khatijah&lt;/author&gt;&lt;author&gt;Seng Chiew, Gan&lt;/author&gt;&lt;author&gt;Danaee, Mahmoud&lt;/author&gt;&lt;author&gt;Chan, Caryn Mei Hsien&lt;/author&gt;&lt;/authors&gt;&lt;/contributors&gt;&lt;titles&gt;&lt;title&gt;The Impact of High Fidelity Patient Simulation on the Level of Knowledge and Critical Thinking Skills in Code Blue Management Among Undergraduate Nursing Students in Malaysia&lt;/title&gt;&lt;secondary-title&gt;SAGE Open&lt;/secondary-title&gt;&lt;/titles&gt;&lt;periodical&gt;&lt;full-title&gt;SAGE Open&lt;/full-title&gt;&lt;/periodical&gt;&lt;pages&gt;21582440211007123&lt;/pages&gt;&lt;volume&gt;11&lt;/volume&gt;&lt;number&gt;2&lt;/number&gt;&lt;dates&gt;&lt;year&gt;2021&lt;/year&gt;&lt;/dates&gt;&lt;isbn&gt;2158-2440&lt;/isbn&gt;&lt;urls&gt;&lt;/urls&gt;&lt;/record&gt;&lt;/Cite&gt;&lt;/EndNote&gt;</w:instrTex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 w:rsidRP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Ka Ling, Lim Binti Abdullah (33)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709" w:type="dxa"/>
            <w:shd w:val="clear" w:color="auto" w:fill="00B050"/>
          </w:tcPr>
          <w:p w14:paraId="664868C7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</w:tcPr>
          <w:p w14:paraId="02E887E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567" w:type="dxa"/>
            <w:shd w:val="clear" w:color="auto" w:fill="00B050"/>
          </w:tcPr>
          <w:p w14:paraId="2DB2EBE2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441008B5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4" w:type="dxa"/>
          </w:tcPr>
          <w:p w14:paraId="362ADCCC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708" w:type="dxa"/>
            <w:shd w:val="clear" w:color="auto" w:fill="00B050"/>
          </w:tcPr>
          <w:p w14:paraId="25655E2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3CDA6C37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22765698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14" w:type="dxa"/>
            <w:shd w:val="clear" w:color="auto" w:fill="00B050"/>
          </w:tcPr>
          <w:p w14:paraId="30E4CC2D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5479B4B6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5C168634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67275BC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6BF971F4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2257" w:type="dxa"/>
          </w:tcPr>
          <w:p w14:paraId="5B959D78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11/13 (85%) Good</w:t>
            </w:r>
          </w:p>
        </w:tc>
      </w:tr>
      <w:tr w:rsidR="004C2021" w:rsidRPr="004C2021" w14:paraId="24E51C9F" w14:textId="77777777" w:rsidTr="00363613">
        <w:tc>
          <w:tcPr>
            <w:tcW w:w="3114" w:type="dxa"/>
            <w:shd w:val="clear" w:color="auto" w:fill="C1E4F5" w:themeFill="accent1" w:themeFillTint="33"/>
          </w:tcPr>
          <w:p w14:paraId="08A3A1C2" w14:textId="5CDF5760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AuthorYear="1"&gt;&lt;Author&gt;Keys&lt;/Author&gt;&lt;Year&gt;2021&lt;/Year&gt;&lt;RecNum&gt;16&lt;/RecNum&gt;&lt;DisplayText&gt;Keys, Luctkar-Flude (32)&lt;/DisplayText&gt;&lt;record&gt;&lt;rec-number&gt;16&lt;/rec-number&gt;&lt;foreign-keys&gt;&lt;key app="EN" db-id="ff0p05rvpv5x96etrdlxzddjvsddsdpve2dr" timestamp="1662545803"&gt;16&lt;/key&gt;&lt;/foreign-keys&gt;&lt;ref-type name="Journal Article"&gt;17&lt;/ref-type&gt;&lt;contributors&gt;&lt;authors&gt;&lt;author&gt;Keys, Evan&lt;/author&gt;&lt;author&gt;Luctkar-Flude, Marian&lt;/author&gt;&lt;author&gt;Tyerman, Jane&lt;/author&gt;&lt;author&gt;Sears, Kim&lt;/author&gt;&lt;author&gt;Woo, Kevin&lt;/author&gt;&lt;/authors&gt;&lt;/contributors&gt;&lt;titles&gt;&lt;title&gt;The integration of virtual simulation gaming into undergraduate nursing resuscitation education: a pilot randomised controlled trial&lt;/title&gt;&lt;secondary-title&gt;Clinical Simulation in Nursing&lt;/secondary-title&gt;&lt;/titles&gt;&lt;periodical&gt;&lt;full-title&gt;Clinical Simulation in Nursing&lt;/full-title&gt;&lt;/periodical&gt;&lt;pages&gt;54-61&lt;/pages&gt;&lt;volume&gt;54&lt;/volume&gt;&lt;dates&gt;&lt;year&gt;2021&lt;/year&gt;&lt;/dates&gt;&lt;isbn&gt;1876-1399&lt;/isbn&gt;&lt;urls&gt;&lt;/urls&gt;&lt;/record&gt;&lt;/Cite&gt;&lt;/EndNote&gt;</w:instrTex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Keys, Luctkar-Flude (32)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709" w:type="dxa"/>
            <w:shd w:val="clear" w:color="auto" w:fill="00B050"/>
          </w:tcPr>
          <w:p w14:paraId="08815397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FF0000"/>
          </w:tcPr>
          <w:p w14:paraId="64707F9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567" w:type="dxa"/>
            <w:shd w:val="clear" w:color="auto" w:fill="00B050"/>
          </w:tcPr>
          <w:p w14:paraId="4ADC162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FF0000"/>
          </w:tcPr>
          <w:p w14:paraId="784BB760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564" w:type="dxa"/>
            <w:shd w:val="clear" w:color="auto" w:fill="00B050"/>
          </w:tcPr>
          <w:p w14:paraId="0BC6E7D2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68B82633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7B9E543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0412563F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14" w:type="dxa"/>
            <w:shd w:val="clear" w:color="auto" w:fill="00B050"/>
          </w:tcPr>
          <w:p w14:paraId="4E835746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1FB7EE99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6E493913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0A1F7169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FF0000"/>
          </w:tcPr>
          <w:p w14:paraId="734E8502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2257" w:type="dxa"/>
          </w:tcPr>
          <w:p w14:paraId="2651A2F3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10/13 (77%) Moderate</w:t>
            </w:r>
          </w:p>
        </w:tc>
      </w:tr>
      <w:tr w:rsidR="004C2021" w:rsidRPr="004C2021" w14:paraId="1A039493" w14:textId="77777777" w:rsidTr="00363613">
        <w:tc>
          <w:tcPr>
            <w:tcW w:w="3114" w:type="dxa"/>
            <w:shd w:val="clear" w:color="auto" w:fill="C1E4F5" w:themeFill="accent1" w:themeFillTint="33"/>
          </w:tcPr>
          <w:p w14:paraId="0487B929" w14:textId="42D29938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AuthorYear="1"&gt;&lt;Author&gt;Kim&lt;/Author&gt;&lt;Year&gt;2020&lt;/Year&gt;&lt;RecNum&gt;23&lt;/RecNum&gt;&lt;DisplayText&gt;Kim, Issenberg (37)&lt;/DisplayText&gt;&lt;record&gt;&lt;rec-number&gt;23&lt;/rec-number&gt;&lt;foreign-keys&gt;&lt;key app="EN" db-id="ff0p05rvpv5x96etrdlxzddjvsddsdpve2dr" timestamp="1662546258"&gt;23&lt;/key&gt;&lt;/foreign-keys&gt;&lt;ref-type name="Journal Article"&gt;17&lt;/ref-type&gt;&lt;contributors&gt;&lt;authors&gt;&lt;author&gt;Kim, Sung Hwan&lt;/author&gt;&lt;author&gt;Issenberg, Barry&lt;/author&gt;&lt;author&gt;Roh, Young Sook&lt;/author&gt;&lt;/authors&gt;&lt;/contributors&gt;&lt;titles&gt;&lt;title&gt;The Effects of simulation-based advanced life support education for nursing students&lt;/title&gt;&lt;secondary-title&gt;CIN: Computers, Informatics, Nursing&lt;/secondary-title&gt;&lt;/titles&gt;&lt;periodical&gt;&lt;full-title&gt;CIN: Computers, Informatics, Nursing&lt;/full-title&gt;&lt;/periodical&gt;&lt;pages&gt;240-245&lt;/pages&gt;&lt;volume&gt;38&lt;/volume&gt;&lt;number&gt;5&lt;/number&gt;&lt;dates&gt;&lt;year&gt;2020&lt;/year&gt;&lt;/dates&gt;&lt;isbn&gt;1538-2931&lt;/isbn&gt;&lt;urls&gt;&lt;/urls&gt;&lt;/record&gt;&lt;/Cite&gt;&lt;/EndNote&gt;</w:instrTex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Kim, Issenberg (37)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709" w:type="dxa"/>
            <w:shd w:val="clear" w:color="auto" w:fill="00B050"/>
          </w:tcPr>
          <w:p w14:paraId="65D7129D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FF0000"/>
          </w:tcPr>
          <w:p w14:paraId="06F1FE22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567" w:type="dxa"/>
            <w:shd w:val="clear" w:color="auto" w:fill="00B050"/>
          </w:tcPr>
          <w:p w14:paraId="0CAF23D0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</w:tcPr>
          <w:p w14:paraId="35FDA4A6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564" w:type="dxa"/>
          </w:tcPr>
          <w:p w14:paraId="5EA25616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708" w:type="dxa"/>
            <w:shd w:val="clear" w:color="auto" w:fill="FF0000"/>
          </w:tcPr>
          <w:p w14:paraId="14CD6568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708" w:type="dxa"/>
            <w:shd w:val="clear" w:color="auto" w:fill="00B050"/>
          </w:tcPr>
          <w:p w14:paraId="26B81156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7E7DDFD0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14" w:type="dxa"/>
            <w:shd w:val="clear" w:color="auto" w:fill="00B050"/>
          </w:tcPr>
          <w:p w14:paraId="3E002B05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277F2D6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54FE2A1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35A2052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FF0000"/>
          </w:tcPr>
          <w:p w14:paraId="23AD9878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2257" w:type="dxa"/>
          </w:tcPr>
          <w:p w14:paraId="55BEF681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8/13 (62%) Moderate</w:t>
            </w:r>
          </w:p>
        </w:tc>
      </w:tr>
      <w:tr w:rsidR="004C2021" w:rsidRPr="004C2021" w14:paraId="75D4DDC7" w14:textId="77777777" w:rsidTr="00363613">
        <w:tc>
          <w:tcPr>
            <w:tcW w:w="3114" w:type="dxa"/>
            <w:shd w:val="clear" w:color="auto" w:fill="C1E4F5" w:themeFill="accent1" w:themeFillTint="33"/>
          </w:tcPr>
          <w:p w14:paraId="1667797C" w14:textId="48AEBB9F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AuthorYear="1"&gt;&lt;Author&gt;Li&lt;/Author&gt;&lt;Year&gt;2023&lt;/Year&gt;&lt;RecNum&gt;380&lt;/RecNum&gt;&lt;DisplayText&gt;Li, Lv (40)&lt;/DisplayText&gt;&lt;record&gt;&lt;rec-number&gt;380&lt;/rec-number&gt;&lt;foreign-keys&gt;&lt;key app="EN" db-id="ff0p05rvpv5x96etrdlxzddjvsddsdpve2dr" timestamp="1699878594"&gt;380&lt;/key&gt;&lt;/foreign-keys&gt;&lt;ref-type name="Journal Article"&gt;17&lt;/ref-type&gt;&lt;contributors&gt;&lt;authors&gt;&lt;author&gt;Li, Yan&lt;/author&gt;&lt;author&gt;Lv, Yunling&lt;/author&gt;&lt;author&gt;Dorol, Ramil D&lt;/author&gt;&lt;author&gt;Wu, Junxiao&lt;/author&gt;&lt;author&gt;Ma, Anna&lt;/author&gt;&lt;author&gt;Liu, Qian&lt;/author&gt;&lt;author&gt;Zhang, Jin&lt;/author&gt;&lt;/authors&gt;&lt;/contributors&gt;&lt;titles&gt;&lt;title&gt;Integrative virtual nursing simulation in teaching cardiopulmonary resuscitation: A blended learning approach&lt;/title&gt;&lt;secondary-title&gt;Australasian Emergency Care&lt;/secondary-title&gt;&lt;/titles&gt;&lt;periodical&gt;&lt;full-title&gt;Australasian Emergency Care&lt;/full-title&gt;&lt;/periodical&gt;&lt;dates&gt;&lt;year&gt;2023&lt;/year&gt;&lt;/dates&gt;&lt;isbn&gt;2588-994X&lt;/isbn&gt;&lt;urls&gt;&lt;/urls&gt;&lt;/record&gt;&lt;/Cite&gt;&lt;/EndNote&gt;</w:instrTex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Li, Lv (40)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709" w:type="dxa"/>
            <w:shd w:val="clear" w:color="auto" w:fill="00B050"/>
          </w:tcPr>
          <w:p w14:paraId="1AAC58B9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60D48068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534EEF65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</w:tcPr>
          <w:p w14:paraId="1642D8D3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564" w:type="dxa"/>
          </w:tcPr>
          <w:p w14:paraId="1D84D60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708" w:type="dxa"/>
          </w:tcPr>
          <w:p w14:paraId="0C14311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708" w:type="dxa"/>
            <w:shd w:val="clear" w:color="auto" w:fill="00B050"/>
          </w:tcPr>
          <w:p w14:paraId="7DAC6265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5947C67C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14" w:type="dxa"/>
            <w:shd w:val="clear" w:color="auto" w:fill="00B050"/>
          </w:tcPr>
          <w:p w14:paraId="31965E63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70AFBF8C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215457E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3BBDA82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75E92C45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2257" w:type="dxa"/>
          </w:tcPr>
          <w:p w14:paraId="0D544B2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10/13 (77%) Moderate</w:t>
            </w:r>
          </w:p>
        </w:tc>
      </w:tr>
      <w:tr w:rsidR="004C2021" w:rsidRPr="004C2021" w14:paraId="75F3156F" w14:textId="77777777" w:rsidTr="00363613">
        <w:tc>
          <w:tcPr>
            <w:tcW w:w="3114" w:type="dxa"/>
            <w:shd w:val="clear" w:color="auto" w:fill="C1E4F5" w:themeFill="accent1" w:themeFillTint="33"/>
          </w:tcPr>
          <w:p w14:paraId="024D12BC" w14:textId="284B448E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AuthorYear="1"&gt;&lt;Author&gt;Padilha&lt;/Author&gt;&lt;Year&gt;2019&lt;/Year&gt;&lt;RecNum&gt;20&lt;/RecNum&gt;&lt;DisplayText&gt;Padilha, Machado (35)&lt;/DisplayText&gt;&lt;record&gt;&lt;rec-number&gt;20&lt;/rec-number&gt;&lt;foreign-keys&gt;&lt;key app="EN" db-id="ff0p05rvpv5x96etrdlxzddjvsddsdpve2dr" timestamp="1662546013"&gt;20&lt;/key&gt;&lt;/foreign-keys&gt;&lt;ref-type name="Journal Article"&gt;17&lt;/ref-type&gt;&lt;contributors&gt;&lt;authors&gt;&lt;author&gt;Padilha, José Miguel&lt;/author&gt;&lt;author&gt;Machado, Paulo Puga&lt;/author&gt;&lt;author&gt;Ribeiro, Ana&lt;/author&gt;&lt;author&gt;Ramos, José&lt;/author&gt;&lt;author&gt;Costa, Patrício&lt;/author&gt;&lt;/authors&gt;&lt;/contributors&gt;&lt;titles&gt;&lt;title&gt;Clinical virtual simulation in nursing education: randomized controlled trial&lt;/title&gt;&lt;secondary-title&gt;Journal of medical Internet research&lt;/secondary-title&gt;&lt;/titles&gt;&lt;periodical&gt;&lt;full-title&gt;Journal of medical Internet research&lt;/full-title&gt;&lt;/periodical&gt;&lt;pages&gt;e11529&lt;/pages&gt;&lt;volume&gt;21&lt;/volume&gt;&lt;number&gt;3&lt;/number&gt;&lt;dates&gt;&lt;year&gt;2019&lt;/year&gt;&lt;/dates&gt;&lt;urls&gt;&lt;/urls&gt;&lt;/record&gt;&lt;/Cite&gt;&lt;/EndNote&gt;</w:instrTex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Padilha, Machado (35)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709" w:type="dxa"/>
            <w:shd w:val="clear" w:color="auto" w:fill="00B050"/>
          </w:tcPr>
          <w:p w14:paraId="61D45816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2A444120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17834025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</w:tcPr>
          <w:p w14:paraId="214084E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564" w:type="dxa"/>
          </w:tcPr>
          <w:p w14:paraId="4337C4B2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708" w:type="dxa"/>
          </w:tcPr>
          <w:p w14:paraId="4D81C9A3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708" w:type="dxa"/>
            <w:shd w:val="clear" w:color="auto" w:fill="00B050"/>
          </w:tcPr>
          <w:p w14:paraId="07215E6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262FC713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14" w:type="dxa"/>
            <w:shd w:val="clear" w:color="auto" w:fill="00B050"/>
          </w:tcPr>
          <w:p w14:paraId="11F4F115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7CD1698C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08CB2589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746BAE0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6200BB74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2257" w:type="dxa"/>
          </w:tcPr>
          <w:p w14:paraId="51243ADD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10/13 (77%) Moderate</w:t>
            </w:r>
          </w:p>
        </w:tc>
      </w:tr>
      <w:tr w:rsidR="004C2021" w:rsidRPr="004C2021" w14:paraId="6A3C95CE" w14:textId="77777777" w:rsidTr="00363613">
        <w:tc>
          <w:tcPr>
            <w:tcW w:w="3114" w:type="dxa"/>
            <w:shd w:val="clear" w:color="auto" w:fill="C1E4F5" w:themeFill="accent1" w:themeFillTint="33"/>
          </w:tcPr>
          <w:p w14:paraId="098A4BC6" w14:textId="2C201329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AuthorYear="1"&gt;&lt;Author&gt;Saeidi&lt;/Author&gt;&lt;Year&gt;2017&lt;/Year&gt;&lt;RecNum&gt;21&lt;/RecNum&gt;&lt;DisplayText&gt;Saeidi and Gholami (36)&lt;/DisplayText&gt;&lt;record&gt;&lt;rec-number&gt;21&lt;/rec-number&gt;&lt;foreign-keys&gt;&lt;key app="EN" db-id="ff0p05rvpv5x96etrdlxzddjvsddsdpve2dr" timestamp="1662546065"&gt;21&lt;/key&gt;&lt;/foreign-keys&gt;&lt;ref-type name="Journal Article"&gt;17&lt;/ref-type&gt;&lt;contributors&gt;&lt;authors&gt;&lt;author&gt;Saeidi, Reza&lt;/author&gt;&lt;author&gt;Gholami, Mahboobeh&lt;/author&gt;&lt;/authors&gt;&lt;/contributors&gt;&lt;titles&gt;&lt;title&gt;Comparison of effect of simulation-based neonatal resuscitation education and traditional education on knowledge of nursing students&lt;/title&gt;&lt;/titles&gt;&lt;dates&gt;&lt;year&gt;2017&lt;/year&gt;&lt;/dates&gt;&lt;urls&gt;&lt;/urls&gt;&lt;/record&gt;&lt;/Cite&gt;&lt;/EndNote&gt;</w:instrTex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Saeidi and Gholami (36)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</w:tcPr>
          <w:p w14:paraId="19899591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567" w:type="dxa"/>
            <w:shd w:val="clear" w:color="auto" w:fill="FF0000"/>
          </w:tcPr>
          <w:p w14:paraId="4E3B9CB7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567" w:type="dxa"/>
            <w:shd w:val="clear" w:color="auto" w:fill="00B050"/>
          </w:tcPr>
          <w:p w14:paraId="5FF7E56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</w:tcPr>
          <w:p w14:paraId="44299BB4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564" w:type="dxa"/>
          </w:tcPr>
          <w:p w14:paraId="0B473411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708" w:type="dxa"/>
          </w:tcPr>
          <w:p w14:paraId="45A52453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708" w:type="dxa"/>
            <w:shd w:val="clear" w:color="auto" w:fill="00B050"/>
          </w:tcPr>
          <w:p w14:paraId="6B6F6E2C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2CE28F03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14" w:type="dxa"/>
            <w:shd w:val="clear" w:color="auto" w:fill="00B050"/>
          </w:tcPr>
          <w:p w14:paraId="0A9537D7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198BED1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2813C88D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1A01955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FF0000"/>
          </w:tcPr>
          <w:p w14:paraId="49CB6627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2257" w:type="dxa"/>
          </w:tcPr>
          <w:p w14:paraId="1B1AB273" w14:textId="34E39DAF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7/1</w:t>
            </w:r>
            <w:r w:rsidR="005271D7">
              <w:rPr>
                <w:rFonts w:asciiTheme="majorBidi" w:hAnsiTheme="majorBidi" w:cstheme="majorBidi"/>
                <w:sz w:val="20"/>
                <w:szCs w:val="20"/>
                <w:lang w:val="it-IT"/>
              </w:rPr>
              <w:t>3</w:t>
            </w: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 xml:space="preserve"> (54%)</w:t>
            </w:r>
            <w:r w:rsidRPr="004C202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Moderate</w:t>
            </w:r>
          </w:p>
        </w:tc>
      </w:tr>
      <w:tr w:rsidR="004C2021" w:rsidRPr="004C2021" w14:paraId="4CC95ABF" w14:textId="77777777" w:rsidTr="00363613">
        <w:tc>
          <w:tcPr>
            <w:tcW w:w="3114" w:type="dxa"/>
            <w:shd w:val="clear" w:color="auto" w:fill="C1E4F5" w:themeFill="accent1" w:themeFillTint="33"/>
          </w:tcPr>
          <w:p w14:paraId="314BEA3C" w14:textId="38E878E5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AuthorYear="1"&gt;&lt;Author&gt;Sarvan&lt;/Author&gt;&lt;Year&gt;2022&lt;/Year&gt;&lt;RecNum&gt;382&lt;/RecNum&gt;&lt;DisplayText&gt;Sarvan and Efe (41)&lt;/DisplayText&gt;&lt;record&gt;&lt;rec-number&gt;382&lt;/rec-number&gt;&lt;foreign-keys&gt;&lt;key app="EN" db-id="ff0p05rvpv5x96etrdlxzddjvsddsdpve2dr" timestamp="1699878667"&gt;382&lt;/key&gt;&lt;/foreign-keys&gt;&lt;ref-type name="Journal Article"&gt;17&lt;/ref-type&gt;&lt;contributors&gt;&lt;authors&gt;&lt;author&gt;Sarvan, Süreyya&lt;/author&gt;&lt;author&gt;Efe, Emine&lt;/author&gt;&lt;/authors&gt;&lt;/contributors&gt;&lt;titles&gt;&lt;title&gt;The effect of neonatal resuscitation training based on a serious game simulation method on nursing students&amp;apos; knowledge, skills, satisfaction and self-confidence levels: a randomized controlled trial&lt;/title&gt;&lt;secondary-title&gt;Nurse Education Today&lt;/secondary-title&gt;&lt;/titles&gt;&lt;periodical&gt;&lt;full-title&gt;Nurse education today&lt;/full-title&gt;&lt;/periodical&gt;&lt;pages&gt;105298&lt;/pages&gt;&lt;volume&gt;111&lt;/volume&gt;&lt;dates&gt;&lt;year&gt;2022&lt;/year&gt;&lt;/dates&gt;&lt;isbn&gt;0260-6917&lt;/isbn&gt;&lt;urls&gt;&lt;/urls&gt;&lt;/record&gt;&lt;/Cite&gt;&lt;/EndNote&gt;</w:instrTex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Sarvan and Efe (41)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709" w:type="dxa"/>
            <w:shd w:val="clear" w:color="auto" w:fill="00B050"/>
          </w:tcPr>
          <w:p w14:paraId="4865D6F0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05F3988C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6D2FE0C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60CF8C7C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4" w:type="dxa"/>
            <w:shd w:val="clear" w:color="auto" w:fill="FF0000"/>
          </w:tcPr>
          <w:p w14:paraId="154D487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708" w:type="dxa"/>
            <w:shd w:val="clear" w:color="auto" w:fill="00B050"/>
          </w:tcPr>
          <w:p w14:paraId="50E2BC46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255DB39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16C0038C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14" w:type="dxa"/>
            <w:shd w:val="clear" w:color="auto" w:fill="00B050"/>
          </w:tcPr>
          <w:p w14:paraId="5F54DB36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556AA026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768EC378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5DEDC17C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0524ABA9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2257" w:type="dxa"/>
          </w:tcPr>
          <w:p w14:paraId="6ADA1E4D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 xml:space="preserve">11/13 (85%) Good </w:t>
            </w:r>
          </w:p>
        </w:tc>
      </w:tr>
      <w:tr w:rsidR="004C2021" w:rsidRPr="004C2021" w14:paraId="44DC856F" w14:textId="77777777" w:rsidTr="00363613">
        <w:tc>
          <w:tcPr>
            <w:tcW w:w="3114" w:type="dxa"/>
            <w:shd w:val="clear" w:color="auto" w:fill="C1E4F5" w:themeFill="accent1" w:themeFillTint="33"/>
          </w:tcPr>
          <w:p w14:paraId="63AB2514" w14:textId="299C2E51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AuthorYear="1"&gt;&lt;Author&gt;Seo&lt;/Author&gt;&lt;Year&gt;2021&lt;/Year&gt;&lt;RecNum&gt;27&lt;/RecNum&gt;&lt;DisplayText&gt;Seo and Eom (39)&lt;/DisplayText&gt;&lt;record&gt;&lt;rec-number&gt;27&lt;/rec-number&gt;&lt;foreign-keys&gt;&lt;key app="EN" db-id="ff0p05rvpv5x96etrdlxzddjvsddsdpve2dr" timestamp="1662546747"&gt;27&lt;/key&gt;&lt;/foreign-keys&gt;&lt;ref-type name="Conference Proceedings"&gt;10&lt;/ref-type&gt;&lt;contributors&gt;&lt;authors&gt;&lt;author&gt;Seo, Yon Hee&lt;/author&gt;&lt;author&gt;Eom, Mi Ran&lt;/author&gt;&lt;/authors&gt;&lt;/contributors&gt;&lt;titles&gt;&lt;title&gt;The Effect of Simulation Nursing Education Using the Outcome-Present State-Test Model on Clinical Reasoning, the Problem-Solving Process, Self-Efficacy, and Clinical Competency in Korean Nursing Students&lt;/title&gt;&lt;secondary-title&gt;Healthcare&lt;/secondary-title&gt;&lt;/titles&gt;&lt;pages&gt;243&lt;/pages&gt;&lt;volume&gt;9&lt;/volume&gt;&lt;number&gt;3&lt;/number&gt;&lt;dates&gt;&lt;year&gt;2021&lt;/year&gt;&lt;/dates&gt;&lt;publisher&gt;MDPI&lt;/publisher&gt;&lt;isbn&gt;2227-9032&lt;/isbn&gt;&lt;urls&gt;&lt;/urls&gt;&lt;/record&gt;&lt;/Cite&gt;&lt;/EndNote&gt;</w:instrTex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Seo and Eom (39)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709" w:type="dxa"/>
            <w:shd w:val="clear" w:color="auto" w:fill="00B050"/>
          </w:tcPr>
          <w:p w14:paraId="37BA6C59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</w:tcPr>
          <w:p w14:paraId="05DB6462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567" w:type="dxa"/>
            <w:shd w:val="clear" w:color="auto" w:fill="00B050"/>
          </w:tcPr>
          <w:p w14:paraId="4CA6B31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FF0000"/>
          </w:tcPr>
          <w:p w14:paraId="3231F2C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564" w:type="dxa"/>
            <w:shd w:val="clear" w:color="auto" w:fill="FF0000"/>
          </w:tcPr>
          <w:p w14:paraId="413C235F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708" w:type="dxa"/>
            <w:shd w:val="clear" w:color="auto" w:fill="FF0000"/>
          </w:tcPr>
          <w:p w14:paraId="3B25D43F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708" w:type="dxa"/>
            <w:shd w:val="clear" w:color="auto" w:fill="00B050"/>
          </w:tcPr>
          <w:p w14:paraId="354C3B78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4892487B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14" w:type="dxa"/>
            <w:shd w:val="clear" w:color="auto" w:fill="00B050"/>
          </w:tcPr>
          <w:p w14:paraId="2EF36104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49DD911F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541534B7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4C94443F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6F0AF0B6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2257" w:type="dxa"/>
          </w:tcPr>
          <w:p w14:paraId="11C16F6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9/13 (69%) Moderate</w:t>
            </w:r>
          </w:p>
        </w:tc>
      </w:tr>
      <w:tr w:rsidR="004C2021" w:rsidRPr="004C2021" w14:paraId="35BF6653" w14:textId="77777777" w:rsidTr="00363613">
        <w:tc>
          <w:tcPr>
            <w:tcW w:w="3114" w:type="dxa"/>
            <w:shd w:val="clear" w:color="auto" w:fill="C1E4F5" w:themeFill="accent1" w:themeFillTint="33"/>
          </w:tcPr>
          <w:p w14:paraId="5AF7CF2F" w14:textId="6468FEE7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AuthorYear="1"&gt;&lt;Author&gt;Svellingen&lt;/Author&gt;&lt;Year&gt;2021&lt;/Year&gt;&lt;RecNum&gt;3&lt;/RecNum&gt;&lt;DisplayText&gt;Svellingen, Forstrønen (28)&lt;/DisplayText&gt;&lt;record&gt;&lt;rec-number&gt;3&lt;/rec-number&gt;&lt;foreign-keys&gt;&lt;key app="EN" db-id="ff0p05rvpv5x96etrdlxzddjvsddsdpve2dr" timestamp="1662544499"&gt;3&lt;/key&gt;&lt;/foreign-keys&gt;&lt;ref-type name="Journal Article"&gt;17&lt;/ref-type&gt;&lt;contributors&gt;&lt;authors&gt;&lt;author&gt;Svellingen, Alette H&lt;/author&gt;&lt;author&gt;Forstrønen, Astrid&lt;/author&gt;&lt;author&gt;Assmus, Jörg&lt;/author&gt;&lt;author&gt;Røykenes, Kari&lt;/author&gt;&lt;author&gt;Brattebø, Guttorm&lt;/author&gt;&lt;/authors&gt;&lt;/contributors&gt;&lt;titles&gt;&lt;title&gt;Simulation-based education and the effect of multiple simulation sessions-A randomised controlled study&lt;/title&gt;&lt;secondary-title&gt;Nurse Education Today&lt;/secondary-title&gt;&lt;/titles&gt;&lt;periodical&gt;&lt;full-title&gt;Nurse education today&lt;/full-title&gt;&lt;/periodical&gt;&lt;pages&gt;105059&lt;/pages&gt;&lt;volume&gt;106&lt;/volume&gt;&lt;dates&gt;&lt;year&gt;2021&lt;/year&gt;&lt;/dates&gt;&lt;isbn&gt;0260-6917&lt;/isbn&gt;&lt;urls&gt;&lt;/urls&gt;&lt;/record&gt;&lt;/Cite&gt;&lt;/EndNote&gt;</w:instrTex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Svellingen, Forstrønen (28)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709" w:type="dxa"/>
            <w:shd w:val="clear" w:color="auto" w:fill="00B050"/>
          </w:tcPr>
          <w:p w14:paraId="6FD4326F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FF0000"/>
          </w:tcPr>
          <w:p w14:paraId="3A9FCFE6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567" w:type="dxa"/>
            <w:shd w:val="clear" w:color="auto" w:fill="00B050"/>
          </w:tcPr>
          <w:p w14:paraId="1FF782E6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FF0000"/>
          </w:tcPr>
          <w:p w14:paraId="75656AF2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564" w:type="dxa"/>
            <w:shd w:val="clear" w:color="auto" w:fill="FF0000"/>
          </w:tcPr>
          <w:p w14:paraId="4EC4CB5C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708" w:type="dxa"/>
            <w:shd w:val="clear" w:color="auto" w:fill="FF0000"/>
          </w:tcPr>
          <w:p w14:paraId="6EBA7597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708" w:type="dxa"/>
            <w:shd w:val="clear" w:color="auto" w:fill="00B050"/>
          </w:tcPr>
          <w:p w14:paraId="023E14A6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22AAE246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14" w:type="dxa"/>
            <w:shd w:val="clear" w:color="auto" w:fill="00B050"/>
          </w:tcPr>
          <w:p w14:paraId="10B7533A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6400A099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071E0732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2606B513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</w:tcPr>
          <w:p w14:paraId="6A5D5E4F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2257" w:type="dxa"/>
          </w:tcPr>
          <w:p w14:paraId="1AF7F6AF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8/13 (62%) Moderate</w:t>
            </w:r>
          </w:p>
        </w:tc>
      </w:tr>
      <w:tr w:rsidR="004C2021" w:rsidRPr="004C2021" w14:paraId="65C7F0AF" w14:textId="77777777" w:rsidTr="00363613">
        <w:tc>
          <w:tcPr>
            <w:tcW w:w="3114" w:type="dxa"/>
            <w:shd w:val="clear" w:color="auto" w:fill="C1E4F5" w:themeFill="accent1" w:themeFillTint="33"/>
          </w:tcPr>
          <w:p w14:paraId="0AC55453" w14:textId="6C67DBBF" w:rsidR="004C2021" w:rsidRPr="004C2021" w:rsidRDefault="004C2021" w:rsidP="00042C3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AuthorYear="1"&gt;&lt;Author&gt;Tawalbeh&lt;/Author&gt;&lt;Year&gt;2020&lt;/Year&gt;&lt;RecNum&gt;24&lt;/RecNum&gt;&lt;DisplayText&gt;Tawalbeh (38)&lt;/DisplayText&gt;&lt;record&gt;&lt;rec-number&gt;24&lt;/rec-number&gt;&lt;foreign-keys&gt;&lt;key app="EN" db-id="ff0p05rvpv5x96etrdlxzddjvsddsdpve2dr" timestamp="1662546310"&gt;24&lt;/key&gt;&lt;/foreign-keys&gt;&lt;ref-type name="Journal Article"&gt;17&lt;/ref-type&gt;&lt;contributors&gt;&lt;authors&gt;&lt;author&gt;Tawalbeh, Loai I&lt;/author&gt;&lt;/authors&gt;&lt;/contributors&gt;&lt;titles&gt;&lt;title&gt;Effect of simulation modules on Jordanian nursing student knowledge and confidence in performing critical care skills: A randomized controlled trial&lt;/title&gt;&lt;secondary-title&gt;International journal of Africa nursing sciences&lt;/secondary-title&gt;&lt;/titles&gt;&lt;periodical&gt;&lt;full-title&gt;International journal of Africa nursing sciences&lt;/full-title&gt;&lt;/periodical&gt;&lt;pages&gt;100242&lt;/pages&gt;&lt;volume&gt;13&lt;/volume&gt;&lt;dates&gt;&lt;year&gt;2020&lt;/year&gt;&lt;/dates&gt;&lt;isbn&gt;2214-1391&lt;/isbn&gt;&lt;urls&gt;&lt;/urls&gt;&lt;/record&gt;&lt;/Cite&gt;&lt;/EndNote&gt;</w:instrTex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Tawalbeh (38)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709" w:type="dxa"/>
            <w:shd w:val="clear" w:color="auto" w:fill="00B050"/>
          </w:tcPr>
          <w:p w14:paraId="4F40A348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7DC4E4A8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058509A1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</w:tcPr>
          <w:p w14:paraId="5BCF1E0F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564" w:type="dxa"/>
            <w:shd w:val="clear" w:color="auto" w:fill="FF0000"/>
          </w:tcPr>
          <w:p w14:paraId="33C1049C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708" w:type="dxa"/>
          </w:tcPr>
          <w:p w14:paraId="0EDAA260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U</w:t>
            </w:r>
          </w:p>
        </w:tc>
        <w:tc>
          <w:tcPr>
            <w:tcW w:w="708" w:type="dxa"/>
            <w:shd w:val="clear" w:color="auto" w:fill="00B050"/>
          </w:tcPr>
          <w:p w14:paraId="7493FE36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6C8C4671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14" w:type="dxa"/>
            <w:shd w:val="clear" w:color="auto" w:fill="00B050"/>
          </w:tcPr>
          <w:p w14:paraId="5C773B62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8" w:type="dxa"/>
            <w:shd w:val="clear" w:color="auto" w:fill="00B050"/>
          </w:tcPr>
          <w:p w14:paraId="652E12D0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3394AB33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567" w:type="dxa"/>
            <w:shd w:val="clear" w:color="auto" w:fill="00B050"/>
          </w:tcPr>
          <w:p w14:paraId="6978A41C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543CA52E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2257" w:type="dxa"/>
          </w:tcPr>
          <w:p w14:paraId="3599BBD7" w14:textId="77777777" w:rsidR="004C2021" w:rsidRPr="004C2021" w:rsidRDefault="004C2021" w:rsidP="00042C3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10/13 (77%) Moderate</w:t>
            </w:r>
          </w:p>
        </w:tc>
      </w:tr>
      <w:tr w:rsidR="00437006" w:rsidRPr="004C2021" w14:paraId="235C93CD" w14:textId="77777777" w:rsidTr="00042C36">
        <w:tc>
          <w:tcPr>
            <w:tcW w:w="13876" w:type="dxa"/>
            <w:gridSpan w:val="15"/>
          </w:tcPr>
          <w:p w14:paraId="3FEDDDA3" w14:textId="77777777" w:rsidR="00437006" w:rsidRPr="004C2021" w:rsidRDefault="00437006" w:rsidP="00437006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</w:t>
            </w:r>
            <w:r w:rsidRPr="004C2021">
              <w:rPr>
                <w:rFonts w:asciiTheme="majorBidi" w:hAnsiTheme="majorBidi" w:cstheme="majorBidi"/>
                <w:sz w:val="20"/>
                <w:szCs w:val="20"/>
              </w:rPr>
              <w:t xml:space="preserve"> Was true randomization used for assignment of participants to treatment groups? (selection bias) 2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Pr="004C2021">
              <w:rPr>
                <w:rFonts w:asciiTheme="majorBidi" w:hAnsiTheme="majorBidi" w:cstheme="majorBidi"/>
                <w:sz w:val="20"/>
                <w:szCs w:val="20"/>
              </w:rPr>
              <w:t xml:space="preserve"> Was allocation to treatment groups concealed? (selection bias) 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</w:t>
            </w:r>
            <w:r w:rsidRPr="004C2021">
              <w:rPr>
                <w:rFonts w:asciiTheme="majorBidi" w:hAnsiTheme="majorBidi" w:cstheme="majorBidi"/>
                <w:sz w:val="20"/>
                <w:szCs w:val="20"/>
              </w:rPr>
              <w:t xml:space="preserve"> Were treatment groups similar at the baseline? (selection bias/design bias) 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</w:t>
            </w:r>
            <w:r w:rsidRPr="004C2021">
              <w:rPr>
                <w:rFonts w:asciiTheme="majorBidi" w:hAnsiTheme="majorBidi" w:cstheme="majorBidi"/>
                <w:sz w:val="20"/>
                <w:szCs w:val="20"/>
              </w:rPr>
              <w:t xml:space="preserve"> Were participants blind to treatment assignment? (performance bias) 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</w:t>
            </w:r>
            <w:r w:rsidRPr="004C2021">
              <w:rPr>
                <w:rFonts w:asciiTheme="majorBidi" w:hAnsiTheme="majorBidi" w:cstheme="majorBidi"/>
                <w:sz w:val="20"/>
                <w:szCs w:val="20"/>
              </w:rPr>
              <w:t xml:space="preserve"> Were those delivering treatment blind to treatment assignment? (performance/detection bias) 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</w:t>
            </w:r>
            <w:r w:rsidRPr="004C2021">
              <w:rPr>
                <w:rFonts w:asciiTheme="majorBidi" w:hAnsiTheme="majorBidi" w:cstheme="majorBidi"/>
                <w:sz w:val="20"/>
                <w:szCs w:val="20"/>
              </w:rPr>
              <w:t xml:space="preserve"> Were outcomes assessors blind to treatment assignment? (ascertainment bias) 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7.</w:t>
            </w:r>
            <w:r w:rsidRPr="004C2021">
              <w:rPr>
                <w:rFonts w:asciiTheme="majorBidi" w:hAnsiTheme="majorBidi" w:cstheme="majorBidi"/>
                <w:sz w:val="20"/>
                <w:szCs w:val="20"/>
              </w:rPr>
              <w:t xml:space="preserve"> Were treatments groups treated identically other than the intervention of interest? (systematic difference/containment bias) 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</w:t>
            </w:r>
            <w:r w:rsidRPr="004C2021">
              <w:rPr>
                <w:rFonts w:asciiTheme="majorBidi" w:hAnsiTheme="majorBidi" w:cstheme="majorBidi"/>
                <w:sz w:val="20"/>
                <w:szCs w:val="20"/>
              </w:rPr>
              <w:t xml:space="preserve"> Was follow-up complete, and if not, were strategies to address incomplete follow-up utilized? (attrition bias) 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</w:t>
            </w:r>
            <w:r w:rsidRPr="004C2021">
              <w:rPr>
                <w:rFonts w:asciiTheme="majorBidi" w:hAnsiTheme="majorBidi" w:cstheme="majorBidi"/>
                <w:sz w:val="20"/>
                <w:szCs w:val="20"/>
              </w:rPr>
              <w:t xml:space="preserve"> Were participants analysed in the groups to which they were randomized? (intention to analysis) 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</w:t>
            </w:r>
            <w:r w:rsidRPr="004C2021">
              <w:rPr>
                <w:rFonts w:asciiTheme="majorBidi" w:hAnsiTheme="majorBidi" w:cstheme="majorBidi"/>
                <w:sz w:val="20"/>
                <w:szCs w:val="20"/>
              </w:rPr>
              <w:t xml:space="preserve"> Were outcomes measured in the same way for treatment groups? (instrumentation/testing effects threats) 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</w:t>
            </w:r>
            <w:r w:rsidRPr="004C2021">
              <w:rPr>
                <w:rFonts w:asciiTheme="majorBidi" w:hAnsiTheme="majorBidi" w:cstheme="majorBidi"/>
                <w:sz w:val="20"/>
                <w:szCs w:val="20"/>
              </w:rPr>
              <w:t xml:space="preserve"> Were outcomes measured in a reliable way? (measurement bias) 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12. </w:t>
            </w:r>
            <w:r w:rsidRPr="004C2021">
              <w:rPr>
                <w:rFonts w:asciiTheme="majorBidi" w:hAnsiTheme="majorBidi" w:cstheme="majorBidi"/>
                <w:sz w:val="20"/>
                <w:szCs w:val="20"/>
              </w:rPr>
              <w:t xml:space="preserve">Was appropriate statistical analysis used? (performance/detection bias) </w:t>
            </w:r>
            <w:r w:rsidRPr="004C20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13.</w:t>
            </w:r>
            <w:r w:rsidRPr="004C2021">
              <w:rPr>
                <w:rFonts w:asciiTheme="majorBidi" w:hAnsiTheme="majorBidi" w:cstheme="majorBidi"/>
                <w:sz w:val="20"/>
                <w:szCs w:val="20"/>
              </w:rPr>
              <w:t xml:space="preserve"> Was the trial design appropriate, and any deviations from the standard RCT design (individual randomization, parallel groups) accounted for in the conduct and analysis of the trial? </w:t>
            </w:r>
            <w:r w:rsidRPr="004C2021">
              <w:rPr>
                <w:rFonts w:asciiTheme="majorBidi" w:hAnsiTheme="majorBidi" w:cstheme="majorBidi"/>
                <w:sz w:val="20"/>
                <w:szCs w:val="20"/>
                <w:lang w:val="it-IT"/>
              </w:rPr>
              <w:t>(design bias)</w:t>
            </w:r>
          </w:p>
        </w:tc>
      </w:tr>
    </w:tbl>
    <w:p w14:paraId="77D8110E" w14:textId="37A87C99" w:rsidR="00790E03" w:rsidRDefault="004C2021" w:rsidP="00790E03">
      <w:pPr>
        <w:spacing w:line="240" w:lineRule="auto"/>
        <w:rPr>
          <w:rFonts w:asciiTheme="majorBidi" w:hAnsiTheme="majorBidi" w:cstheme="majorBidi"/>
          <w:b/>
          <w:bCs/>
          <w:sz w:val="22"/>
          <w:szCs w:val="22"/>
        </w:rPr>
      </w:pPr>
      <w:bookmarkStart w:id="3" w:name="_Hlk126739418"/>
      <w:bookmarkEnd w:id="1"/>
      <w:r w:rsidRPr="004C2021">
        <w:rPr>
          <w:rFonts w:asciiTheme="majorBidi" w:hAnsiTheme="majorBidi" w:cstheme="majorBidi"/>
          <w:b/>
          <w:bCs/>
          <w:sz w:val="22"/>
          <w:szCs w:val="22"/>
        </w:rPr>
        <w:t xml:space="preserve">*Good: at least 80%; </w:t>
      </w:r>
      <w:r w:rsidR="00363613">
        <w:rPr>
          <w:rFonts w:asciiTheme="majorBidi" w:hAnsiTheme="majorBidi" w:cstheme="majorBidi"/>
          <w:b/>
          <w:bCs/>
          <w:sz w:val="22"/>
          <w:szCs w:val="22"/>
        </w:rPr>
        <w:t>M</w:t>
      </w:r>
      <w:r w:rsidRPr="004C2021">
        <w:rPr>
          <w:rFonts w:asciiTheme="majorBidi" w:hAnsiTheme="majorBidi" w:cstheme="majorBidi"/>
          <w:b/>
          <w:bCs/>
          <w:sz w:val="22"/>
          <w:szCs w:val="22"/>
        </w:rPr>
        <w:t xml:space="preserve">oderate: 50–80%; </w:t>
      </w:r>
      <w:r w:rsidR="00363613">
        <w:rPr>
          <w:rFonts w:asciiTheme="majorBidi" w:hAnsiTheme="majorBidi" w:cstheme="majorBidi"/>
          <w:b/>
          <w:bCs/>
          <w:sz w:val="22"/>
          <w:szCs w:val="22"/>
        </w:rPr>
        <w:t>P</w:t>
      </w:r>
      <w:r w:rsidRPr="004C2021">
        <w:rPr>
          <w:rFonts w:asciiTheme="majorBidi" w:hAnsiTheme="majorBidi" w:cstheme="majorBidi"/>
          <w:b/>
          <w:bCs/>
          <w:sz w:val="22"/>
          <w:szCs w:val="22"/>
        </w:rPr>
        <w:t>oor: less than 50%</w:t>
      </w:r>
    </w:p>
    <w:p w14:paraId="57E8EFEC" w14:textId="2ED8EA6E" w:rsidR="004C2021" w:rsidRDefault="004C2021" w:rsidP="00790E03">
      <w:pPr>
        <w:spacing w:line="24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363613">
        <w:rPr>
          <w:rFonts w:asciiTheme="majorBidi" w:hAnsiTheme="majorBidi" w:cstheme="majorBidi"/>
          <w:b/>
          <w:bCs/>
          <w:sz w:val="22"/>
          <w:szCs w:val="22"/>
          <w:shd w:val="clear" w:color="auto" w:fill="FFFFFF" w:themeFill="background1"/>
        </w:rPr>
        <w:t xml:space="preserve">Key:   </w:t>
      </w:r>
      <w:r w:rsidRPr="00363613">
        <w:rPr>
          <w:rFonts w:asciiTheme="majorBidi" w:hAnsiTheme="majorBidi" w:cstheme="majorBidi"/>
          <w:b/>
          <w:bCs/>
          <w:sz w:val="22"/>
          <w:szCs w:val="22"/>
          <w:shd w:val="clear" w:color="auto" w:fill="00B050"/>
        </w:rPr>
        <w:t>Yes =Y</w:t>
      </w:r>
      <w:r w:rsidRPr="004C2021">
        <w:rPr>
          <w:rFonts w:asciiTheme="majorBidi" w:hAnsiTheme="majorBidi" w:cstheme="majorBidi"/>
          <w:b/>
          <w:bCs/>
          <w:sz w:val="22"/>
          <w:szCs w:val="22"/>
        </w:rPr>
        <w:t xml:space="preserve">      </w:t>
      </w:r>
      <w:r w:rsidRPr="00363613">
        <w:rPr>
          <w:rFonts w:asciiTheme="majorBidi" w:hAnsiTheme="majorBidi" w:cstheme="majorBidi"/>
          <w:b/>
          <w:bCs/>
          <w:sz w:val="22"/>
          <w:szCs w:val="22"/>
          <w:shd w:val="clear" w:color="auto" w:fill="FF0000"/>
        </w:rPr>
        <w:t>No= N</w:t>
      </w:r>
      <w:r w:rsidRPr="004C2021">
        <w:rPr>
          <w:rFonts w:asciiTheme="majorBidi" w:hAnsiTheme="majorBidi" w:cstheme="majorBidi"/>
          <w:b/>
          <w:bCs/>
          <w:sz w:val="22"/>
          <w:szCs w:val="22"/>
        </w:rPr>
        <w:t xml:space="preserve">       </w:t>
      </w:r>
      <w:r w:rsidR="00363613" w:rsidRPr="00363613">
        <w:rPr>
          <w:rFonts w:asciiTheme="majorBidi" w:hAnsiTheme="majorBidi" w:cstheme="majorBidi"/>
          <w:b/>
          <w:bCs/>
          <w:sz w:val="22"/>
          <w:szCs w:val="22"/>
        </w:rPr>
        <w:t>Unclear</w:t>
      </w:r>
      <w:r w:rsidRPr="004C2021">
        <w:rPr>
          <w:rFonts w:asciiTheme="majorBidi" w:hAnsiTheme="majorBidi" w:cstheme="majorBidi"/>
          <w:b/>
          <w:bCs/>
          <w:sz w:val="22"/>
          <w:szCs w:val="22"/>
        </w:rPr>
        <w:t xml:space="preserve"> = U       </w:t>
      </w:r>
      <w:bookmarkStart w:id="4" w:name="_Hlk158027737"/>
      <w:r w:rsidRPr="00363613">
        <w:rPr>
          <w:rFonts w:asciiTheme="majorBidi" w:hAnsiTheme="majorBidi" w:cstheme="majorBidi"/>
          <w:b/>
          <w:bCs/>
          <w:sz w:val="22"/>
          <w:szCs w:val="22"/>
          <w:shd w:val="clear" w:color="auto" w:fill="D1D1D1" w:themeFill="background2" w:themeFillShade="E6"/>
        </w:rPr>
        <w:t xml:space="preserve">Not </w:t>
      </w:r>
      <w:bookmarkEnd w:id="3"/>
      <w:r w:rsidRPr="00363613">
        <w:rPr>
          <w:rFonts w:asciiTheme="majorBidi" w:hAnsiTheme="majorBidi" w:cstheme="majorBidi"/>
          <w:b/>
          <w:bCs/>
          <w:sz w:val="22"/>
          <w:szCs w:val="22"/>
          <w:shd w:val="clear" w:color="auto" w:fill="D1D1D1" w:themeFill="background2" w:themeFillShade="E6"/>
        </w:rPr>
        <w:t>applicable</w:t>
      </w:r>
      <w:r w:rsidR="00437006" w:rsidRPr="00363613">
        <w:rPr>
          <w:rFonts w:asciiTheme="majorBidi" w:hAnsiTheme="majorBidi" w:cstheme="majorBidi"/>
          <w:b/>
          <w:bCs/>
          <w:sz w:val="22"/>
          <w:szCs w:val="22"/>
          <w:shd w:val="clear" w:color="auto" w:fill="D1D1D1" w:themeFill="background2" w:themeFillShade="E6"/>
        </w:rPr>
        <w:t xml:space="preserve"> = NA</w:t>
      </w:r>
      <w:bookmarkEnd w:id="4"/>
    </w:p>
    <w:p w14:paraId="3FCB84BB" w14:textId="77777777" w:rsidR="00437006" w:rsidRDefault="00437006" w:rsidP="00790E03">
      <w:pPr>
        <w:spacing w:line="240" w:lineRule="auto"/>
        <w:rPr>
          <w:rFonts w:asciiTheme="majorBidi" w:hAnsiTheme="majorBidi" w:cstheme="majorBidi"/>
          <w:b/>
          <w:bCs/>
          <w:sz w:val="22"/>
          <w:szCs w:val="22"/>
        </w:rPr>
      </w:pPr>
      <w:bookmarkStart w:id="5" w:name="_GoBack"/>
      <w:bookmarkEnd w:id="5"/>
    </w:p>
    <w:sectPr w:rsidR="00437006" w:rsidSect="007122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85C35" w14:textId="77777777" w:rsidR="004027EF" w:rsidRDefault="004027EF">
      <w:pPr>
        <w:spacing w:after="0" w:line="240" w:lineRule="auto"/>
      </w:pPr>
      <w:r>
        <w:separator/>
      </w:r>
    </w:p>
  </w:endnote>
  <w:endnote w:type="continuationSeparator" w:id="0">
    <w:p w14:paraId="7C39BB6E" w14:textId="77777777" w:rsidR="004027EF" w:rsidRDefault="00402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76A6E" w14:textId="77777777" w:rsidR="004027EF" w:rsidRDefault="004027EF">
      <w:pPr>
        <w:spacing w:after="0" w:line="240" w:lineRule="auto"/>
      </w:pPr>
      <w:r>
        <w:separator/>
      </w:r>
    </w:p>
  </w:footnote>
  <w:footnote w:type="continuationSeparator" w:id="0">
    <w:p w14:paraId="24998E54" w14:textId="77777777" w:rsidR="004027EF" w:rsidRDefault="00402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96710"/>
    <w:multiLevelType w:val="hybridMultilevel"/>
    <w:tmpl w:val="3C2A7B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D64F8"/>
    <w:multiLevelType w:val="multilevel"/>
    <w:tmpl w:val="618C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FF54AE"/>
    <w:multiLevelType w:val="hybridMultilevel"/>
    <w:tmpl w:val="9B7A16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0p05rvpv5x96etrdlxzddjvsddsdpve2dr&quot;&gt;My EndNote Library-Converted&lt;record-ids&gt;&lt;item&gt;2&lt;/item&gt;&lt;item&gt;3&lt;/item&gt;&lt;item&gt;4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8&lt;/item&gt;&lt;item&gt;63&lt;/item&gt;&lt;item&gt;103&lt;/item&gt;&lt;item&gt;111&lt;/item&gt;&lt;item&gt;141&lt;/item&gt;&lt;item&gt;149&lt;/item&gt;&lt;item&gt;166&lt;/item&gt;&lt;item&gt;193&lt;/item&gt;&lt;item&gt;198&lt;/item&gt;&lt;item&gt;199&lt;/item&gt;&lt;item&gt;200&lt;/item&gt;&lt;item&gt;201&lt;/item&gt;&lt;item&gt;212&lt;/item&gt;&lt;item&gt;213&lt;/item&gt;&lt;item&gt;214&lt;/item&gt;&lt;item&gt;216&lt;/item&gt;&lt;item&gt;217&lt;/item&gt;&lt;item&gt;225&lt;/item&gt;&lt;item&gt;227&lt;/item&gt;&lt;item&gt;234&lt;/item&gt;&lt;item&gt;237&lt;/item&gt;&lt;item&gt;238&lt;/item&gt;&lt;item&gt;240&lt;/item&gt;&lt;item&gt;241&lt;/item&gt;&lt;item&gt;242&lt;/item&gt;&lt;item&gt;243&lt;/item&gt;&lt;item&gt;245&lt;/item&gt;&lt;item&gt;246&lt;/item&gt;&lt;item&gt;251&lt;/item&gt;&lt;item&gt;252&lt;/item&gt;&lt;item&gt;253&lt;/item&gt;&lt;item&gt;265&lt;/item&gt;&lt;item&gt;379&lt;/item&gt;&lt;item&gt;380&lt;/item&gt;&lt;item&gt;381&lt;/item&gt;&lt;item&gt;382&lt;/item&gt;&lt;item&gt;383&lt;/item&gt;&lt;item&gt;384&lt;/item&gt;&lt;item&gt;385&lt;/item&gt;&lt;item&gt;386&lt;/item&gt;&lt;/record-ids&gt;&lt;/item&gt;&lt;/Libraries&gt;"/>
  </w:docVars>
  <w:rsids>
    <w:rsidRoot w:val="003E4AF4"/>
    <w:rsid w:val="00043D8D"/>
    <w:rsid w:val="00061C10"/>
    <w:rsid w:val="00063A29"/>
    <w:rsid w:val="000B0A9D"/>
    <w:rsid w:val="000B4EAD"/>
    <w:rsid w:val="001726D1"/>
    <w:rsid w:val="00172ECD"/>
    <w:rsid w:val="00173E15"/>
    <w:rsid w:val="00175BB1"/>
    <w:rsid w:val="001A0354"/>
    <w:rsid w:val="001A32B5"/>
    <w:rsid w:val="001B4571"/>
    <w:rsid w:val="001C1C47"/>
    <w:rsid w:val="001F4A0D"/>
    <w:rsid w:val="00231B38"/>
    <w:rsid w:val="00236A74"/>
    <w:rsid w:val="00241E66"/>
    <w:rsid w:val="00244478"/>
    <w:rsid w:val="002C296B"/>
    <w:rsid w:val="002D0798"/>
    <w:rsid w:val="0035166E"/>
    <w:rsid w:val="00363613"/>
    <w:rsid w:val="0037055E"/>
    <w:rsid w:val="003C3B1E"/>
    <w:rsid w:val="003E4AF4"/>
    <w:rsid w:val="003E7A14"/>
    <w:rsid w:val="004027EF"/>
    <w:rsid w:val="00403E71"/>
    <w:rsid w:val="00437006"/>
    <w:rsid w:val="00497108"/>
    <w:rsid w:val="004A6670"/>
    <w:rsid w:val="004C2021"/>
    <w:rsid w:val="004D3064"/>
    <w:rsid w:val="005271D7"/>
    <w:rsid w:val="00531E35"/>
    <w:rsid w:val="00571F14"/>
    <w:rsid w:val="0059726B"/>
    <w:rsid w:val="005A5903"/>
    <w:rsid w:val="005C3146"/>
    <w:rsid w:val="005F6219"/>
    <w:rsid w:val="00607749"/>
    <w:rsid w:val="0061030B"/>
    <w:rsid w:val="00610DEB"/>
    <w:rsid w:val="00612EFF"/>
    <w:rsid w:val="0062517C"/>
    <w:rsid w:val="00637CDB"/>
    <w:rsid w:val="00653A73"/>
    <w:rsid w:val="006568E5"/>
    <w:rsid w:val="006B1279"/>
    <w:rsid w:val="006E38C4"/>
    <w:rsid w:val="006E7142"/>
    <w:rsid w:val="006F2F36"/>
    <w:rsid w:val="0071224D"/>
    <w:rsid w:val="0073132E"/>
    <w:rsid w:val="00777A2E"/>
    <w:rsid w:val="00787404"/>
    <w:rsid w:val="00790E03"/>
    <w:rsid w:val="007A39B7"/>
    <w:rsid w:val="007E6997"/>
    <w:rsid w:val="007E6D85"/>
    <w:rsid w:val="00825FC4"/>
    <w:rsid w:val="0082775B"/>
    <w:rsid w:val="0083345E"/>
    <w:rsid w:val="00837592"/>
    <w:rsid w:val="00844F20"/>
    <w:rsid w:val="00850B9E"/>
    <w:rsid w:val="00876078"/>
    <w:rsid w:val="008A3A17"/>
    <w:rsid w:val="008B7C75"/>
    <w:rsid w:val="00910D7C"/>
    <w:rsid w:val="009245CA"/>
    <w:rsid w:val="0093057B"/>
    <w:rsid w:val="00952C95"/>
    <w:rsid w:val="00957F81"/>
    <w:rsid w:val="00966072"/>
    <w:rsid w:val="009A6DF8"/>
    <w:rsid w:val="009D3FB4"/>
    <w:rsid w:val="00AC41B1"/>
    <w:rsid w:val="00AC635B"/>
    <w:rsid w:val="00AD1FA1"/>
    <w:rsid w:val="00AE0F0A"/>
    <w:rsid w:val="00AE3F4E"/>
    <w:rsid w:val="00B7714D"/>
    <w:rsid w:val="00B83989"/>
    <w:rsid w:val="00B83B17"/>
    <w:rsid w:val="00B97943"/>
    <w:rsid w:val="00BB28D4"/>
    <w:rsid w:val="00C21DFA"/>
    <w:rsid w:val="00C33A55"/>
    <w:rsid w:val="00CB6568"/>
    <w:rsid w:val="00CE3114"/>
    <w:rsid w:val="00D14972"/>
    <w:rsid w:val="00D21D68"/>
    <w:rsid w:val="00D6185C"/>
    <w:rsid w:val="00D62667"/>
    <w:rsid w:val="00D63E62"/>
    <w:rsid w:val="00D73594"/>
    <w:rsid w:val="00DD0534"/>
    <w:rsid w:val="00DD56C5"/>
    <w:rsid w:val="00E01EAA"/>
    <w:rsid w:val="00E06CAC"/>
    <w:rsid w:val="00EB10A2"/>
    <w:rsid w:val="00F0191C"/>
    <w:rsid w:val="00F01FA3"/>
    <w:rsid w:val="00F535B5"/>
    <w:rsid w:val="00F72F1A"/>
    <w:rsid w:val="00FD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61AEDA"/>
  <w15:chartTrackingRefBased/>
  <w15:docId w15:val="{BBCD97BC-960F-479C-BFC5-38906258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4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4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E4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E4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A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A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A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A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A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A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A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A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A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A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A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32B5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32B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E06CAC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06CAC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E06CAC"/>
    <w:pPr>
      <w:spacing w:line="240" w:lineRule="auto"/>
      <w:jc w:val="both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06CAC"/>
    <w:rPr>
      <w:rFonts w:ascii="Aptos" w:hAnsi="Aptos"/>
      <w:noProof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6B1279"/>
    <w:pPr>
      <w:spacing w:before="120" w:after="280" w:line="360" w:lineRule="auto"/>
      <w:ind w:left="720"/>
      <w:contextualSpacing/>
      <w:jc w:val="both"/>
    </w:pPr>
    <w:rPr>
      <w:rFonts w:ascii="Times New Roman" w:eastAsia="Calibri" w:hAnsi="Times New Roman"/>
      <w:kern w:val="0"/>
      <w:szCs w:val="22"/>
      <w:lang w:eastAsia="en-US"/>
      <w14:ligatures w14:val="none"/>
    </w:rPr>
  </w:style>
  <w:style w:type="table" w:styleId="PlainTable4">
    <w:name w:val="Plain Table 4"/>
    <w:basedOn w:val="TableNormal"/>
    <w:uiPriority w:val="44"/>
    <w:rsid w:val="006B1279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B4EAD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6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"/>
    <w:rsid w:val="00777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77A2E"/>
  </w:style>
  <w:style w:type="character" w:customStyle="1" w:styleId="eop">
    <w:name w:val="eop"/>
    <w:basedOn w:val="DefaultParagraphFont"/>
    <w:rsid w:val="00777A2E"/>
  </w:style>
  <w:style w:type="table" w:customStyle="1" w:styleId="TableGrid2">
    <w:name w:val="Table Grid2"/>
    <w:basedOn w:val="TableNormal"/>
    <w:next w:val="TableGrid"/>
    <w:uiPriority w:val="59"/>
    <w:rsid w:val="004C2021"/>
    <w:pPr>
      <w:spacing w:after="0" w:line="240" w:lineRule="auto"/>
    </w:pPr>
    <w:rPr>
      <w:rFonts w:eastAsia="Calibr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C202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4C2021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4C202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4C2021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4C2021"/>
    <w:pPr>
      <w:tabs>
        <w:tab w:val="center" w:pos="4513"/>
        <w:tab w:val="right" w:pos="9026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C202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C2021"/>
    <w:pPr>
      <w:tabs>
        <w:tab w:val="center" w:pos="4513"/>
        <w:tab w:val="right" w:pos="9026"/>
      </w:tabs>
      <w:spacing w:after="0"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C2021"/>
    <w:rPr>
      <w:sz w:val="22"/>
      <w:szCs w:val="22"/>
    </w:rPr>
  </w:style>
  <w:style w:type="table" w:customStyle="1" w:styleId="TableGrid3">
    <w:name w:val="Table Grid3"/>
    <w:basedOn w:val="TableNormal"/>
    <w:next w:val="TableGrid"/>
    <w:uiPriority w:val="39"/>
    <w:rsid w:val="004C202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-2">
    <w:name w:val="pb-2"/>
    <w:basedOn w:val="Normal"/>
    <w:rsid w:val="004C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ssue-underline">
    <w:name w:val="issue-underline"/>
    <w:basedOn w:val="DefaultParagraphFont"/>
    <w:rsid w:val="004C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2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3EAE5-64CF-41FA-8AB6-4E0F60235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16563</Characters>
  <Application>Microsoft Office Word</Application>
  <DocSecurity>0</DocSecurity>
  <Lines>138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Fahd R Alharbi (PGR)</dc:creator>
  <cp:keywords/>
  <dc:description/>
  <cp:lastModifiedBy>Khristelle Abellon Meran</cp:lastModifiedBy>
  <cp:revision>3</cp:revision>
  <cp:lastPrinted>2024-09-30T06:28:00Z</cp:lastPrinted>
  <dcterms:created xsi:type="dcterms:W3CDTF">2024-09-30T06:33:00Z</dcterms:created>
  <dcterms:modified xsi:type="dcterms:W3CDTF">2024-09-30T06:33:00Z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fc2319bf-12d3-404d-9d82-f6b747946887</vt:lpwstr>
  </property>
</Properties>
</file>