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2EE3" w:rsidRDefault="009F2EE3" w:rsidP="009F2EE3">
      <w:pPr>
        <w:rPr>
          <w:sz w:val="24"/>
          <w:szCs w:val="24"/>
        </w:rPr>
      </w:pPr>
      <w:r>
        <w:rPr>
          <w:noProof/>
        </w:rPr>
        <w:drawing>
          <wp:inline distT="0" distB="0" distL="0" distR="0" wp14:anchorId="31C50165" wp14:editId="6DD34B24">
            <wp:extent cx="5731510" cy="8166081"/>
            <wp:effectExtent l="0" t="0" r="0" b="635"/>
            <wp:docPr id="1599143694" name="Picture 159914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rcRect b="19863"/>
                    <a:stretch>
                      <a:fillRect/>
                    </a:stretch>
                  </pic:blipFill>
                  <pic:spPr>
                    <a:xfrm>
                      <a:off x="0" y="0"/>
                      <a:ext cx="5731510" cy="8166081"/>
                    </a:xfrm>
                    <a:prstGeom prst="rect">
                      <a:avLst/>
                    </a:prstGeom>
                  </pic:spPr>
                </pic:pic>
              </a:graphicData>
            </a:graphic>
          </wp:inline>
        </w:drawing>
      </w:r>
    </w:p>
    <w:p w:rsidR="009F2EE3" w:rsidRPr="002C3D5C" w:rsidRDefault="009F2EE3" w:rsidP="009F2EE3"/>
    <w:p w:rsidR="009F2EE3" w:rsidRDefault="009F2EE3" w:rsidP="009F2EE3">
      <w:pPr>
        <w:spacing w:after="0"/>
        <w:rPr>
          <w:rFonts w:ascii="Calibri" w:eastAsia="Calibri" w:hAnsi="Calibri" w:cs="Calibri"/>
          <w:i/>
          <w:iCs/>
          <w:color w:val="000000" w:themeColor="text1"/>
          <w:sz w:val="24"/>
          <w:szCs w:val="24"/>
        </w:rPr>
      </w:pPr>
      <w:r w:rsidRPr="2695E292">
        <w:rPr>
          <w:rFonts w:ascii="Calibri" w:eastAsia="Calibri" w:hAnsi="Calibri" w:cs="Calibri"/>
          <w:b/>
          <w:bCs/>
          <w:color w:val="000000" w:themeColor="text1"/>
          <w:sz w:val="24"/>
          <w:szCs w:val="24"/>
        </w:rPr>
        <w:lastRenderedPageBreak/>
        <w:t xml:space="preserve">Supplementary File 1: Appendix 1: </w:t>
      </w:r>
      <w:r w:rsidRPr="2695E292">
        <w:rPr>
          <w:rFonts w:ascii="Calibri" w:eastAsia="Calibri" w:hAnsi="Calibri" w:cs="Calibri"/>
          <w:i/>
          <w:iCs/>
          <w:color w:val="000000" w:themeColor="text1"/>
          <w:sz w:val="24"/>
          <w:szCs w:val="24"/>
        </w:rPr>
        <w:t xml:space="preserve">Table highlighting changes made to existing theory that formed the basis of the initial theoretical framework. Existing theory explored the same topic but in a different context: teachers’ perceptions of factors that shape their mindset. [1] Minor changes are in blue and major changes are in red. </w:t>
      </w:r>
    </w:p>
    <w:p w:rsidR="009F2EE3" w:rsidRDefault="009F2EE3" w:rsidP="009F2EE3">
      <w:pPr>
        <w:spacing w:after="0"/>
        <w:rPr>
          <w:rFonts w:eastAsiaTheme="minorEastAsia"/>
          <w:b/>
          <w:bCs/>
          <w:color w:val="000000" w:themeColor="text1"/>
          <w:sz w:val="24"/>
          <w:szCs w:val="24"/>
        </w:rPr>
      </w:pPr>
    </w:p>
    <w:p w:rsidR="009F2EE3" w:rsidRDefault="009F2EE3" w:rsidP="00C10EAB">
      <w:pPr>
        <w:spacing w:after="0" w:line="480" w:lineRule="auto"/>
        <w:rPr>
          <w:rFonts w:eastAsiaTheme="minorEastAsia"/>
          <w:b/>
          <w:bCs/>
          <w:color w:val="000000" w:themeColor="text1"/>
          <w:sz w:val="24"/>
          <w:szCs w:val="24"/>
          <w:u w:val="single"/>
        </w:rPr>
      </w:pPr>
      <w:r w:rsidRPr="2695E292">
        <w:rPr>
          <w:rFonts w:eastAsiaTheme="minorEastAsia"/>
          <w:b/>
          <w:bCs/>
          <w:color w:val="000000" w:themeColor="text1"/>
          <w:sz w:val="24"/>
          <w:szCs w:val="24"/>
          <w:u w:val="single"/>
        </w:rPr>
        <w:t xml:space="preserve">Justifications for changes made to the theoretical framework prior to data collection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changed</w:t>
      </w:r>
      <w:r w:rsidRPr="2695E292">
        <w:rPr>
          <w:rFonts w:eastAsiaTheme="minorEastAsia"/>
          <w:b/>
          <w:bCs/>
          <w:color w:val="000000" w:themeColor="text1"/>
          <w:sz w:val="24"/>
          <w:szCs w:val="24"/>
        </w:rPr>
        <w:t xml:space="preserve"> Education</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School Education</w:t>
      </w:r>
      <w:r w:rsidRPr="2695E292">
        <w:rPr>
          <w:rFonts w:eastAsiaTheme="minorEastAsia"/>
          <w:color w:val="000000" w:themeColor="text1"/>
          <w:sz w:val="24"/>
          <w:szCs w:val="24"/>
        </w:rPr>
        <w:t xml:space="preserve"> to specify primary and secondary education rather than higher education, which is what the existing theory was referring to.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b/>
          <w:bCs/>
          <w:color w:val="000000" w:themeColor="text1"/>
          <w:sz w:val="24"/>
          <w:szCs w:val="24"/>
        </w:rPr>
        <w:t xml:space="preserve">Values of stimulation </w:t>
      </w:r>
      <w:r w:rsidRPr="2695E292">
        <w:rPr>
          <w:rFonts w:eastAsiaTheme="minorEastAsia"/>
          <w:color w:val="000000" w:themeColor="text1"/>
          <w:sz w:val="24"/>
          <w:szCs w:val="24"/>
        </w:rPr>
        <w:t xml:space="preserve">referred to the taxonomy of Schwartz’s ten values, and is defined as motivation for an exciting, daring and varied life. [2] We removed this theme as we felt it was adequately reflected in </w:t>
      </w:r>
      <w:r w:rsidRPr="2695E292">
        <w:rPr>
          <w:rFonts w:eastAsiaTheme="minorEastAsia"/>
          <w:b/>
          <w:bCs/>
          <w:color w:val="000000" w:themeColor="text1"/>
          <w:sz w:val="24"/>
          <w:szCs w:val="24"/>
        </w:rPr>
        <w:t>Openness for change</w:t>
      </w:r>
      <w:r w:rsidRPr="2695E292">
        <w:rPr>
          <w:rFonts w:eastAsiaTheme="minorEastAsia"/>
          <w:color w:val="000000" w:themeColor="text1"/>
          <w:sz w:val="24"/>
          <w:szCs w:val="24"/>
        </w:rPr>
        <w:t xml:space="preserve">. </w:t>
      </w:r>
    </w:p>
    <w:p w:rsidR="009F2EE3" w:rsidRDefault="009F2EE3" w:rsidP="00C10EAB">
      <w:pPr>
        <w:pStyle w:val="ListParagraph"/>
        <w:numPr>
          <w:ilvl w:val="0"/>
          <w:numId w:val="1"/>
        </w:numPr>
        <w:spacing w:after="0" w:line="480" w:lineRule="auto"/>
        <w:rPr>
          <w:sz w:val="24"/>
          <w:szCs w:val="24"/>
        </w:rPr>
      </w:pPr>
      <w:r w:rsidRPr="2695E292">
        <w:rPr>
          <w:rFonts w:eastAsiaTheme="minorEastAsia"/>
          <w:color w:val="000000" w:themeColor="text1"/>
          <w:sz w:val="24"/>
          <w:szCs w:val="24"/>
        </w:rPr>
        <w:t>We added</w:t>
      </w:r>
      <w:r w:rsidRPr="2695E292">
        <w:rPr>
          <w:rFonts w:eastAsiaTheme="minorEastAsia"/>
          <w:b/>
          <w:bCs/>
          <w:color w:val="000000" w:themeColor="text1"/>
          <w:sz w:val="24"/>
          <w:szCs w:val="24"/>
        </w:rPr>
        <w:t xml:space="preserve"> Nurture</w:t>
      </w:r>
      <w:r w:rsidRPr="2695E292">
        <w:rPr>
          <w:rFonts w:eastAsiaTheme="minorEastAsia"/>
          <w:color w:val="000000" w:themeColor="text1"/>
          <w:sz w:val="24"/>
          <w:szCs w:val="24"/>
        </w:rPr>
        <w:t xml:space="preserve"> as parental relationships </w:t>
      </w:r>
      <w:r w:rsidRPr="2695E292">
        <w:rPr>
          <w:sz w:val="24"/>
          <w:szCs w:val="24"/>
        </w:rPr>
        <w:t>were identified in previous research as internal factors that impacted mindset. [3]</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changed </w:t>
      </w:r>
      <w:r w:rsidRPr="2695E292">
        <w:rPr>
          <w:rFonts w:eastAsiaTheme="minorEastAsia"/>
          <w:b/>
          <w:bCs/>
          <w:color w:val="000000" w:themeColor="text1"/>
          <w:sz w:val="24"/>
          <w:szCs w:val="24"/>
        </w:rPr>
        <w:t>Inner motivation for teaching</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Passion for profession</w:t>
      </w:r>
      <w:r w:rsidRPr="2695E292">
        <w:rPr>
          <w:rFonts w:eastAsiaTheme="minorEastAsia"/>
          <w:color w:val="000000" w:themeColor="text1"/>
          <w:sz w:val="24"/>
          <w:szCs w:val="24"/>
        </w:rPr>
        <w:t xml:space="preserve"> due to the different careers of our research participants.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amended</w:t>
      </w:r>
      <w:r w:rsidRPr="2695E292">
        <w:rPr>
          <w:rFonts w:eastAsiaTheme="minorEastAsia"/>
          <w:b/>
          <w:bCs/>
          <w:color w:val="000000" w:themeColor="text1"/>
          <w:sz w:val="24"/>
          <w:szCs w:val="24"/>
        </w:rPr>
        <w:t xml:space="preserve"> Mentorship and feedback</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Structured and continuous feedback from supervisors</w:t>
      </w:r>
      <w:r w:rsidRPr="2695E292">
        <w:rPr>
          <w:rFonts w:eastAsiaTheme="minorEastAsia"/>
          <w:color w:val="000000" w:themeColor="text1"/>
          <w:sz w:val="24"/>
          <w:szCs w:val="24"/>
        </w:rPr>
        <w:t xml:space="preserve"> as all trainees are allocated clinical and educational supervisors during their training pathway who have responsibility to provide feedback, and we wanted to refer to supervision structures that were in place for all trainees.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adapted</w:t>
      </w:r>
      <w:r w:rsidRPr="2695E292">
        <w:rPr>
          <w:rFonts w:eastAsiaTheme="minorEastAsia"/>
          <w:b/>
          <w:bCs/>
          <w:color w:val="000000" w:themeColor="text1"/>
          <w:sz w:val="24"/>
          <w:szCs w:val="24"/>
        </w:rPr>
        <w:t xml:space="preserve"> School learning climate </w:t>
      </w:r>
      <w:r w:rsidRPr="2695E292">
        <w:rPr>
          <w:rFonts w:eastAsiaTheme="minorEastAsia"/>
          <w:color w:val="000000" w:themeColor="text1"/>
          <w:sz w:val="24"/>
          <w:szCs w:val="24"/>
        </w:rPr>
        <w:t xml:space="preserve">to </w:t>
      </w:r>
      <w:r w:rsidRPr="2695E292">
        <w:rPr>
          <w:rFonts w:eastAsiaTheme="minorEastAsia"/>
          <w:b/>
          <w:bCs/>
          <w:color w:val="000000" w:themeColor="text1"/>
          <w:sz w:val="24"/>
          <w:szCs w:val="24"/>
        </w:rPr>
        <w:t xml:space="preserve">Hospital no blame culture </w:t>
      </w:r>
      <w:r w:rsidRPr="2695E292">
        <w:rPr>
          <w:rFonts w:eastAsiaTheme="minorEastAsia"/>
          <w:color w:val="000000" w:themeColor="text1"/>
          <w:sz w:val="24"/>
          <w:szCs w:val="24"/>
        </w:rPr>
        <w:t xml:space="preserve">due to the different learning environments of the research participants.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changed </w:t>
      </w:r>
      <w:r w:rsidRPr="2695E292">
        <w:rPr>
          <w:rFonts w:eastAsiaTheme="minorEastAsia"/>
          <w:b/>
          <w:bCs/>
          <w:color w:val="000000" w:themeColor="text1"/>
          <w:sz w:val="24"/>
          <w:szCs w:val="24"/>
        </w:rPr>
        <w:t>Principal support</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Organizational support</w:t>
      </w:r>
      <w:r w:rsidRPr="2695E292">
        <w:rPr>
          <w:rFonts w:eastAsiaTheme="minorEastAsia"/>
          <w:color w:val="000000" w:themeColor="text1"/>
          <w:sz w:val="24"/>
          <w:szCs w:val="24"/>
        </w:rPr>
        <w:t xml:space="preserve"> because of the different learning environments of our research participants, and we specified the word </w:t>
      </w:r>
      <w:r w:rsidRPr="2695E292">
        <w:rPr>
          <w:rFonts w:eastAsiaTheme="minorEastAsia"/>
          <w:b/>
          <w:bCs/>
          <w:color w:val="000000" w:themeColor="text1"/>
          <w:sz w:val="24"/>
          <w:szCs w:val="24"/>
        </w:rPr>
        <w:t xml:space="preserve">innovations </w:t>
      </w:r>
      <w:r w:rsidRPr="2695E292">
        <w:rPr>
          <w:rFonts w:eastAsiaTheme="minorEastAsia"/>
          <w:color w:val="000000" w:themeColor="text1"/>
          <w:sz w:val="24"/>
          <w:szCs w:val="24"/>
        </w:rPr>
        <w:t xml:space="preserve">as </w:t>
      </w:r>
      <w:r w:rsidRPr="2695E292">
        <w:rPr>
          <w:rFonts w:eastAsiaTheme="minorEastAsia"/>
          <w:b/>
          <w:bCs/>
          <w:color w:val="000000" w:themeColor="text1"/>
          <w:sz w:val="24"/>
          <w:szCs w:val="24"/>
        </w:rPr>
        <w:t>Principal support</w:t>
      </w:r>
      <w:r w:rsidRPr="2695E292">
        <w:rPr>
          <w:rFonts w:eastAsiaTheme="minorEastAsia"/>
          <w:color w:val="000000" w:themeColor="text1"/>
          <w:sz w:val="24"/>
          <w:szCs w:val="24"/>
        </w:rPr>
        <w:t xml:space="preserve"> in the existing theory focused on principals supporting new initiatives (i.e. innovations).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lastRenderedPageBreak/>
        <w:t>To provide clarity for the research participants about the primary dictated external change in their learning context, we added</w:t>
      </w:r>
      <w:r w:rsidRPr="2695E292">
        <w:rPr>
          <w:rFonts w:eastAsiaTheme="minorEastAsia"/>
          <w:b/>
          <w:bCs/>
          <w:color w:val="000000" w:themeColor="text1"/>
          <w:sz w:val="24"/>
          <w:szCs w:val="24"/>
        </w:rPr>
        <w:t xml:space="preserve"> Competency based curriculum</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Dictated external changes</w:t>
      </w:r>
      <w:r w:rsidRPr="2695E292">
        <w:rPr>
          <w:rFonts w:eastAsiaTheme="minorEastAsia"/>
          <w:color w:val="000000" w:themeColor="text1"/>
          <w:sz w:val="24"/>
          <w:szCs w:val="24"/>
        </w:rPr>
        <w:t xml:space="preserve">  </w:t>
      </w:r>
    </w:p>
    <w:p w:rsidR="009F2EE3" w:rsidRDefault="009F2EE3" w:rsidP="00C10EAB">
      <w:pPr>
        <w:pStyle w:val="ListParagraph"/>
        <w:numPr>
          <w:ilvl w:val="0"/>
          <w:numId w:val="1"/>
        </w:numPr>
        <w:spacing w:after="0" w:line="480" w:lineRule="auto"/>
        <w:rPr>
          <w:rFonts w:eastAsiaTheme="minorEastAsia"/>
          <w:color w:val="000000" w:themeColor="text1"/>
          <w:sz w:val="24"/>
          <w:szCs w:val="24"/>
        </w:rPr>
      </w:pPr>
      <w:r w:rsidRPr="2695E292">
        <w:rPr>
          <w:rFonts w:eastAsiaTheme="minorEastAsia"/>
          <w:color w:val="000000" w:themeColor="text1"/>
          <w:sz w:val="24"/>
          <w:szCs w:val="24"/>
        </w:rPr>
        <w:t xml:space="preserve">We added the word </w:t>
      </w:r>
      <w:r w:rsidRPr="2695E292">
        <w:rPr>
          <w:rFonts w:eastAsiaTheme="minorEastAsia"/>
          <w:b/>
          <w:bCs/>
          <w:color w:val="000000" w:themeColor="text1"/>
          <w:sz w:val="24"/>
          <w:szCs w:val="24"/>
        </w:rPr>
        <w:t>training</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Non-diverse experience</w:t>
      </w:r>
      <w:r w:rsidRPr="2695E292">
        <w:rPr>
          <w:rFonts w:eastAsiaTheme="minorEastAsia"/>
          <w:color w:val="000000" w:themeColor="text1"/>
          <w:sz w:val="24"/>
          <w:szCs w:val="24"/>
        </w:rPr>
        <w:t xml:space="preserve"> to specify lack of diverse experience in professional rather than personal life.</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modified </w:t>
      </w:r>
      <w:r w:rsidRPr="2695E292">
        <w:rPr>
          <w:rFonts w:eastAsiaTheme="minorEastAsia"/>
          <w:b/>
          <w:bCs/>
          <w:color w:val="000000" w:themeColor="text1"/>
          <w:sz w:val="24"/>
          <w:szCs w:val="24"/>
        </w:rPr>
        <w:t>Conformity values</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Valuing conformity</w:t>
      </w:r>
      <w:r w:rsidRPr="2695E292">
        <w:rPr>
          <w:rFonts w:eastAsiaTheme="minorEastAsia"/>
          <w:color w:val="000000" w:themeColor="text1"/>
          <w:sz w:val="24"/>
          <w:szCs w:val="24"/>
        </w:rPr>
        <w:t xml:space="preserve"> as we felt this phraseology would be more familiar to trainees.</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b/>
          <w:bCs/>
          <w:color w:val="000000" w:themeColor="text1"/>
          <w:sz w:val="24"/>
          <w:szCs w:val="24"/>
        </w:rPr>
        <w:t>Shortcoming of attention</w:t>
      </w:r>
      <w:r w:rsidRPr="2695E292">
        <w:rPr>
          <w:rFonts w:eastAsiaTheme="minorEastAsia"/>
          <w:color w:val="000000" w:themeColor="text1"/>
          <w:sz w:val="24"/>
          <w:szCs w:val="24"/>
        </w:rPr>
        <w:t xml:space="preserve"> referred to burnout from excess work commitments and </w:t>
      </w:r>
      <w:r w:rsidRPr="2695E292">
        <w:rPr>
          <w:rFonts w:eastAsiaTheme="minorEastAsia"/>
          <w:b/>
          <w:bCs/>
          <w:color w:val="000000" w:themeColor="text1"/>
          <w:sz w:val="24"/>
          <w:szCs w:val="24"/>
        </w:rPr>
        <w:t>Spare time for learning</w:t>
      </w:r>
      <w:r w:rsidRPr="2695E292">
        <w:rPr>
          <w:rFonts w:eastAsiaTheme="minorEastAsia"/>
          <w:color w:val="000000" w:themeColor="text1"/>
          <w:sz w:val="24"/>
          <w:szCs w:val="24"/>
        </w:rPr>
        <w:t xml:space="preserve"> referred to available time outside of work to focus on learning. We changed the wording to </w:t>
      </w:r>
      <w:r w:rsidRPr="2695E292">
        <w:rPr>
          <w:rFonts w:eastAsiaTheme="minorEastAsia"/>
          <w:b/>
          <w:bCs/>
          <w:color w:val="000000" w:themeColor="text1"/>
          <w:sz w:val="24"/>
          <w:szCs w:val="24"/>
        </w:rPr>
        <w:t>Chronic stress due to clinical workload</w:t>
      </w:r>
      <w:r w:rsidRPr="2695E292">
        <w:rPr>
          <w:rFonts w:eastAsiaTheme="minorEastAsia"/>
          <w:color w:val="000000" w:themeColor="text1"/>
          <w:sz w:val="24"/>
          <w:szCs w:val="24"/>
        </w:rPr>
        <w:t xml:space="preserve"> and </w:t>
      </w:r>
      <w:r w:rsidRPr="2695E292">
        <w:rPr>
          <w:rFonts w:eastAsiaTheme="minorEastAsia"/>
          <w:b/>
          <w:bCs/>
          <w:color w:val="000000" w:themeColor="text1"/>
          <w:sz w:val="24"/>
          <w:szCs w:val="24"/>
        </w:rPr>
        <w:t>Juggling too many things</w:t>
      </w:r>
      <w:r w:rsidRPr="2695E292">
        <w:rPr>
          <w:rFonts w:eastAsiaTheme="minorEastAsia"/>
          <w:color w:val="000000" w:themeColor="text1"/>
          <w:sz w:val="24"/>
          <w:szCs w:val="24"/>
        </w:rPr>
        <w:t xml:space="preserve">, respectively, because we felt this was more familiar terminology for trainees when referring to the same themes.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adapted</w:t>
      </w:r>
      <w:r w:rsidRPr="2695E292">
        <w:rPr>
          <w:rFonts w:eastAsiaTheme="minorEastAsia"/>
          <w:b/>
          <w:bCs/>
          <w:color w:val="000000" w:themeColor="text1"/>
          <w:sz w:val="24"/>
          <w:szCs w:val="24"/>
        </w:rPr>
        <w:t xml:space="preserve"> Unsupportive environment</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Hospital learning climate</w:t>
      </w:r>
      <w:r w:rsidRPr="2695E292">
        <w:rPr>
          <w:rFonts w:eastAsiaTheme="minorEastAsia"/>
          <w:color w:val="000000" w:themeColor="text1"/>
          <w:sz w:val="24"/>
          <w:szCs w:val="24"/>
        </w:rPr>
        <w:t xml:space="preserve"> to provide more specificity about location for the research participants when referring to </w:t>
      </w:r>
      <w:r w:rsidRPr="2695E292">
        <w:rPr>
          <w:rFonts w:eastAsiaTheme="minorEastAsia"/>
          <w:b/>
          <w:bCs/>
          <w:color w:val="000000" w:themeColor="text1"/>
          <w:sz w:val="24"/>
          <w:szCs w:val="24"/>
        </w:rPr>
        <w:t>Mediocrity culture</w:t>
      </w:r>
      <w:r w:rsidRPr="2695E292">
        <w:rPr>
          <w:rFonts w:eastAsiaTheme="minorEastAsia"/>
          <w:color w:val="000000" w:themeColor="text1"/>
          <w:sz w:val="24"/>
          <w:szCs w:val="24"/>
        </w:rPr>
        <w:t xml:space="preserve">, </w:t>
      </w:r>
      <w:r w:rsidRPr="2695E292">
        <w:rPr>
          <w:rFonts w:eastAsiaTheme="minorEastAsia"/>
          <w:b/>
          <w:bCs/>
          <w:color w:val="000000" w:themeColor="text1"/>
          <w:sz w:val="24"/>
          <w:szCs w:val="24"/>
        </w:rPr>
        <w:t xml:space="preserve">Hierarchical environment </w:t>
      </w:r>
      <w:r w:rsidRPr="2695E292">
        <w:rPr>
          <w:rFonts w:eastAsiaTheme="minorEastAsia"/>
          <w:color w:val="000000" w:themeColor="text1"/>
          <w:sz w:val="24"/>
          <w:szCs w:val="24"/>
        </w:rPr>
        <w:t xml:space="preserve">etc.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felt that</w:t>
      </w:r>
      <w:r w:rsidRPr="2695E292">
        <w:rPr>
          <w:rFonts w:eastAsiaTheme="minorEastAsia"/>
          <w:b/>
          <w:bCs/>
          <w:color w:val="000000" w:themeColor="text1"/>
          <w:sz w:val="24"/>
          <w:szCs w:val="24"/>
        </w:rPr>
        <w:t xml:space="preserve"> Lack of binding framework</w:t>
      </w:r>
      <w:r w:rsidRPr="2695E292">
        <w:rPr>
          <w:rFonts w:eastAsiaTheme="minorEastAsia"/>
          <w:color w:val="000000" w:themeColor="text1"/>
          <w:sz w:val="24"/>
          <w:szCs w:val="24"/>
        </w:rPr>
        <w:t xml:space="preserve"> and </w:t>
      </w:r>
      <w:r w:rsidRPr="2695E292">
        <w:rPr>
          <w:rFonts w:eastAsiaTheme="minorEastAsia"/>
          <w:b/>
          <w:bCs/>
          <w:color w:val="000000" w:themeColor="text1"/>
          <w:sz w:val="24"/>
          <w:szCs w:val="24"/>
        </w:rPr>
        <w:t>Lack of quality measures</w:t>
      </w:r>
      <w:r w:rsidRPr="2695E292">
        <w:rPr>
          <w:rFonts w:eastAsiaTheme="minorEastAsia"/>
          <w:color w:val="000000" w:themeColor="text1"/>
          <w:sz w:val="24"/>
          <w:szCs w:val="24"/>
        </w:rPr>
        <w:t xml:space="preserve"> were unfamiliar references for our research participants, so we replaced with two types of learning climates in the hospital that we felt could impact mindset: </w:t>
      </w:r>
      <w:r w:rsidRPr="2695E292">
        <w:rPr>
          <w:rFonts w:eastAsiaTheme="minorEastAsia"/>
          <w:b/>
          <w:bCs/>
          <w:color w:val="000000" w:themeColor="text1"/>
          <w:sz w:val="24"/>
          <w:szCs w:val="24"/>
        </w:rPr>
        <w:t>Hierarchical environment</w:t>
      </w:r>
      <w:r w:rsidRPr="2695E292">
        <w:rPr>
          <w:rFonts w:eastAsiaTheme="minorEastAsia"/>
          <w:color w:val="000000" w:themeColor="text1"/>
          <w:sz w:val="24"/>
          <w:szCs w:val="24"/>
        </w:rPr>
        <w:t xml:space="preserve"> and </w:t>
      </w:r>
      <w:r w:rsidRPr="2695E292">
        <w:rPr>
          <w:rFonts w:eastAsiaTheme="minorEastAsia"/>
          <w:b/>
          <w:bCs/>
          <w:color w:val="000000" w:themeColor="text1"/>
          <w:sz w:val="24"/>
          <w:szCs w:val="24"/>
        </w:rPr>
        <w:t>No support (financial or staffing) for innovation</w:t>
      </w:r>
      <w:r w:rsidRPr="2695E292">
        <w:rPr>
          <w:rFonts w:eastAsiaTheme="minorEastAsia"/>
          <w:color w:val="000000" w:themeColor="text1"/>
          <w:sz w:val="24"/>
          <w:szCs w:val="24"/>
        </w:rPr>
        <w:t xml:space="preserve">.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We adapted</w:t>
      </w:r>
      <w:r w:rsidRPr="2695E292">
        <w:rPr>
          <w:rFonts w:eastAsiaTheme="minorEastAsia"/>
          <w:b/>
          <w:bCs/>
          <w:color w:val="000000" w:themeColor="text1"/>
          <w:sz w:val="24"/>
          <w:szCs w:val="24"/>
        </w:rPr>
        <w:t xml:space="preserve"> The status of teachers</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The status of trainees</w:t>
      </w:r>
      <w:r w:rsidRPr="2695E292">
        <w:rPr>
          <w:rFonts w:eastAsiaTheme="minorEastAsia"/>
          <w:color w:val="000000" w:themeColor="text1"/>
          <w:sz w:val="24"/>
          <w:szCs w:val="24"/>
        </w:rPr>
        <w:t xml:space="preserve"> due to the difference in professions of our research participants. </w:t>
      </w:r>
    </w:p>
    <w:p w:rsidR="009F2EE3"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color w:val="000000" w:themeColor="text1"/>
          <w:sz w:val="24"/>
          <w:szCs w:val="24"/>
        </w:rPr>
        <w:t xml:space="preserve">We modified </w:t>
      </w:r>
      <w:r w:rsidRPr="2695E292">
        <w:rPr>
          <w:rFonts w:eastAsiaTheme="minorEastAsia"/>
          <w:b/>
          <w:bCs/>
          <w:color w:val="000000" w:themeColor="text1"/>
          <w:sz w:val="24"/>
          <w:szCs w:val="24"/>
        </w:rPr>
        <w:t>Lack of autonomy</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Lack of professional autonomy</w:t>
      </w:r>
      <w:r w:rsidRPr="2695E292">
        <w:rPr>
          <w:rFonts w:eastAsiaTheme="minorEastAsia"/>
          <w:color w:val="000000" w:themeColor="text1"/>
          <w:sz w:val="24"/>
          <w:szCs w:val="24"/>
        </w:rPr>
        <w:t xml:space="preserve"> to provide further specificity for our research participants. </w:t>
      </w:r>
    </w:p>
    <w:p w:rsidR="009F2EE3" w:rsidRPr="00477C19"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2695E292">
        <w:rPr>
          <w:rFonts w:eastAsiaTheme="minorEastAsia"/>
          <w:b/>
          <w:bCs/>
          <w:color w:val="000000" w:themeColor="text1"/>
          <w:sz w:val="24"/>
          <w:szCs w:val="24"/>
        </w:rPr>
        <w:lastRenderedPageBreak/>
        <w:t>Unfair rewards</w:t>
      </w:r>
      <w:r w:rsidRPr="2695E292">
        <w:rPr>
          <w:rFonts w:eastAsiaTheme="minorEastAsia"/>
          <w:color w:val="000000" w:themeColor="text1"/>
          <w:sz w:val="24"/>
          <w:szCs w:val="24"/>
        </w:rPr>
        <w:t xml:space="preserve"> referred to financial compensation in the existing theory. To provide clarity that rewards were referring to payment, and to stimulate reflection that performance is not linked to payment, we changed </w:t>
      </w:r>
      <w:r w:rsidRPr="2695E292">
        <w:rPr>
          <w:rFonts w:eastAsiaTheme="minorEastAsia"/>
          <w:b/>
          <w:bCs/>
          <w:color w:val="000000" w:themeColor="text1"/>
          <w:sz w:val="24"/>
          <w:szCs w:val="24"/>
        </w:rPr>
        <w:t>Unfair Rewards</w:t>
      </w:r>
      <w:r w:rsidRPr="2695E292">
        <w:rPr>
          <w:rFonts w:eastAsiaTheme="minorEastAsia"/>
          <w:color w:val="000000" w:themeColor="text1"/>
          <w:sz w:val="24"/>
          <w:szCs w:val="24"/>
        </w:rPr>
        <w:t xml:space="preserve"> to </w:t>
      </w:r>
      <w:r w:rsidRPr="2695E292">
        <w:rPr>
          <w:rFonts w:eastAsiaTheme="minorEastAsia"/>
          <w:b/>
          <w:bCs/>
          <w:color w:val="000000" w:themeColor="text1"/>
          <w:sz w:val="24"/>
          <w:szCs w:val="24"/>
        </w:rPr>
        <w:t>Incentive structure: non differential nature of salaries</w:t>
      </w:r>
      <w:r w:rsidRPr="2695E292">
        <w:rPr>
          <w:rFonts w:eastAsiaTheme="minorEastAsia"/>
          <w:color w:val="000000" w:themeColor="text1"/>
          <w:sz w:val="24"/>
          <w:szCs w:val="24"/>
        </w:rPr>
        <w:t>.</w:t>
      </w:r>
    </w:p>
    <w:p w:rsidR="009F2EE3" w:rsidRPr="00477C19" w:rsidRDefault="009F2EE3" w:rsidP="00C10EAB">
      <w:pPr>
        <w:pStyle w:val="ListParagraph"/>
        <w:numPr>
          <w:ilvl w:val="0"/>
          <w:numId w:val="1"/>
        </w:numPr>
        <w:spacing w:after="0" w:line="480" w:lineRule="auto"/>
        <w:rPr>
          <w:rFonts w:ascii="Calibri" w:eastAsia="Calibri" w:hAnsi="Calibri"/>
          <w:color w:val="000000" w:themeColor="text1"/>
          <w:sz w:val="24"/>
          <w:szCs w:val="24"/>
        </w:rPr>
      </w:pPr>
      <w:r w:rsidRPr="00477C19">
        <w:rPr>
          <w:rFonts w:eastAsiaTheme="minorEastAsia"/>
          <w:color w:val="000000" w:themeColor="text1"/>
          <w:sz w:val="24"/>
          <w:szCs w:val="24"/>
        </w:rPr>
        <w:t xml:space="preserve">We added </w:t>
      </w:r>
      <w:r w:rsidRPr="00477C19">
        <w:rPr>
          <w:rFonts w:eastAsiaTheme="minorEastAsia"/>
          <w:b/>
          <w:bCs/>
          <w:color w:val="000000" w:themeColor="text1"/>
          <w:sz w:val="24"/>
          <w:szCs w:val="24"/>
        </w:rPr>
        <w:t>Incivility</w:t>
      </w:r>
      <w:r w:rsidRPr="00477C19">
        <w:rPr>
          <w:rFonts w:eastAsiaTheme="minorEastAsia"/>
          <w:color w:val="000000" w:themeColor="text1"/>
          <w:sz w:val="24"/>
          <w:szCs w:val="24"/>
        </w:rPr>
        <w:t xml:space="preserve"> to the initial theoretical framework because existing literature supported that rudeness in the workplace can have an impact on mindset, and we wanted to explore this </w:t>
      </w:r>
    </w:p>
    <w:p w:rsidR="009F2EE3" w:rsidRDefault="009F2EE3" w:rsidP="00C10EAB">
      <w:pPr>
        <w:spacing w:after="0" w:line="480" w:lineRule="auto"/>
        <w:rPr>
          <w:sz w:val="24"/>
          <w:szCs w:val="24"/>
        </w:rPr>
      </w:pPr>
    </w:p>
    <w:p w:rsidR="009F2EE3" w:rsidRDefault="009F2EE3" w:rsidP="00C10EAB">
      <w:pPr>
        <w:spacing w:after="0" w:line="480" w:lineRule="auto"/>
        <w:rPr>
          <w:sz w:val="24"/>
          <w:szCs w:val="24"/>
        </w:rPr>
      </w:pPr>
    </w:p>
    <w:p w:rsidR="009F2EE3" w:rsidRPr="00477C19" w:rsidRDefault="009F2EE3" w:rsidP="00C10EAB">
      <w:pPr>
        <w:spacing w:after="0" w:line="480" w:lineRule="auto"/>
        <w:rPr>
          <w:b/>
          <w:bCs/>
          <w:color w:val="000000" w:themeColor="text1"/>
          <w:sz w:val="24"/>
          <w:szCs w:val="24"/>
          <w:u w:val="single"/>
        </w:rPr>
      </w:pPr>
      <w:r w:rsidRPr="00477C19">
        <w:rPr>
          <w:b/>
          <w:bCs/>
          <w:color w:val="000000" w:themeColor="text1"/>
          <w:sz w:val="24"/>
          <w:szCs w:val="24"/>
          <w:u w:val="single"/>
        </w:rPr>
        <w:t>Supplementary References</w:t>
      </w:r>
    </w:p>
    <w:p w:rsidR="009F2EE3" w:rsidRPr="00477C19" w:rsidRDefault="009F2EE3" w:rsidP="00C10EAB">
      <w:pPr>
        <w:spacing w:after="0" w:line="480" w:lineRule="auto"/>
        <w:rPr>
          <w:rFonts w:ascii="Calibri" w:eastAsia="Calibri" w:hAnsi="Calibri"/>
          <w:color w:val="000000" w:themeColor="text1"/>
          <w:sz w:val="24"/>
          <w:szCs w:val="24"/>
        </w:rPr>
      </w:pPr>
      <w:r w:rsidRPr="00477C19">
        <w:rPr>
          <w:sz w:val="24"/>
          <w:szCs w:val="24"/>
        </w:rPr>
        <w:t>1.</w:t>
      </w:r>
      <w:r>
        <w:tab/>
      </w:r>
      <w:r w:rsidRPr="00477C19">
        <w:rPr>
          <w:sz w:val="24"/>
          <w:szCs w:val="24"/>
        </w:rPr>
        <w:t>Zilka A, Grinshtain Y, Bogler R. Fixed or growth: teacher perceptions of factors that shape mindset. Prof Dev Educ. 2022;48(1):149-65.</w:t>
      </w:r>
    </w:p>
    <w:p w:rsidR="009F2EE3" w:rsidRDefault="009F2EE3" w:rsidP="00C10EAB">
      <w:pPr>
        <w:spacing w:line="480" w:lineRule="auto"/>
        <w:rPr>
          <w:sz w:val="24"/>
          <w:szCs w:val="24"/>
        </w:rPr>
      </w:pPr>
      <w:r w:rsidRPr="2695E292">
        <w:rPr>
          <w:sz w:val="24"/>
          <w:szCs w:val="24"/>
        </w:rPr>
        <w:t xml:space="preserve">2. </w:t>
      </w:r>
      <w:r>
        <w:tab/>
      </w:r>
      <w:r w:rsidRPr="2695E292">
        <w:rPr>
          <w:sz w:val="24"/>
          <w:szCs w:val="24"/>
        </w:rPr>
        <w:t>Schwartz SH. Universals in the content and structure of values: Theoretical advances and empirical tests in 20 countries. In Advances in experimental social psychology 1992 Jan 1 (Vol. 25, pp. 1-65). Academic Press.</w:t>
      </w:r>
    </w:p>
    <w:p w:rsidR="009F2EE3" w:rsidRDefault="009F2EE3" w:rsidP="00C10EAB">
      <w:pPr>
        <w:spacing w:line="480" w:lineRule="auto"/>
        <w:rPr>
          <w:sz w:val="24"/>
          <w:szCs w:val="24"/>
        </w:rPr>
      </w:pPr>
      <w:r w:rsidRPr="2695E292">
        <w:rPr>
          <w:sz w:val="24"/>
          <w:szCs w:val="24"/>
        </w:rPr>
        <w:t xml:space="preserve">3. </w:t>
      </w:r>
      <w:r>
        <w:tab/>
      </w:r>
      <w:r w:rsidRPr="2695E292">
        <w:rPr>
          <w:sz w:val="24"/>
          <w:szCs w:val="24"/>
        </w:rPr>
        <w:t>Waithaka AG, Furniss TM, Gitimu PN. College Student Mind-Set: Does Student-Parental Relationship Influence the Student's Mind-Set?. Research in Higher Education Journal. 2017 Jun;32.</w:t>
      </w:r>
      <w:r>
        <w:tab/>
      </w:r>
    </w:p>
    <w:p w:rsidR="009F2EE3" w:rsidRDefault="009F2EE3" w:rsidP="00C10EAB">
      <w:pPr>
        <w:spacing w:line="480" w:lineRule="auto"/>
        <w:rPr>
          <w:sz w:val="24"/>
          <w:szCs w:val="24"/>
        </w:rPr>
      </w:pPr>
      <w:r w:rsidRPr="2695E292">
        <w:rPr>
          <w:sz w:val="24"/>
          <w:szCs w:val="24"/>
        </w:rPr>
        <w:t>4.</w:t>
      </w:r>
      <w:r>
        <w:tab/>
      </w:r>
      <w:r w:rsidRPr="2695E292">
        <w:rPr>
          <w:sz w:val="24"/>
          <w:szCs w:val="24"/>
        </w:rPr>
        <w:t>Babchenko O, Scott K, Jung S, Frank S, Elmaraghi S, Thiagarajasubramanian S, Rendell V, Poore SO, Bentz ML, Garland CB. Resident perspectives on effective surgical training: incivility, confidence, and mindset. Journal of Surgical Education. 2020 Sep 1;77(5):1088-96.</w:t>
      </w:r>
    </w:p>
    <w:p w:rsidR="00B00F26" w:rsidRDefault="00B00F26"/>
    <w:sectPr w:rsidR="00B00F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66655"/>
    <w:multiLevelType w:val="hybridMultilevel"/>
    <w:tmpl w:val="DDCC92FE"/>
    <w:lvl w:ilvl="0" w:tplc="B4F22A10">
      <w:start w:val="1"/>
      <w:numFmt w:val="bullet"/>
      <w:lvlText w:val=""/>
      <w:lvlJc w:val="left"/>
      <w:pPr>
        <w:ind w:left="720" w:hanging="360"/>
      </w:pPr>
      <w:rPr>
        <w:rFonts w:ascii="Symbol" w:hAnsi="Symbol" w:hint="default"/>
      </w:rPr>
    </w:lvl>
    <w:lvl w:ilvl="1" w:tplc="EA86A260">
      <w:start w:val="1"/>
      <w:numFmt w:val="bullet"/>
      <w:lvlText w:val="o"/>
      <w:lvlJc w:val="left"/>
      <w:pPr>
        <w:ind w:left="1440" w:hanging="360"/>
      </w:pPr>
      <w:rPr>
        <w:rFonts w:ascii="Courier New" w:hAnsi="Courier New" w:hint="default"/>
      </w:rPr>
    </w:lvl>
    <w:lvl w:ilvl="2" w:tplc="A73636B6">
      <w:start w:val="1"/>
      <w:numFmt w:val="bullet"/>
      <w:lvlText w:val=""/>
      <w:lvlJc w:val="left"/>
      <w:pPr>
        <w:ind w:left="2160" w:hanging="360"/>
      </w:pPr>
      <w:rPr>
        <w:rFonts w:ascii="Wingdings" w:hAnsi="Wingdings" w:hint="default"/>
      </w:rPr>
    </w:lvl>
    <w:lvl w:ilvl="3" w:tplc="50F65BBE">
      <w:start w:val="1"/>
      <w:numFmt w:val="bullet"/>
      <w:lvlText w:val=""/>
      <w:lvlJc w:val="left"/>
      <w:pPr>
        <w:ind w:left="2880" w:hanging="360"/>
      </w:pPr>
      <w:rPr>
        <w:rFonts w:ascii="Symbol" w:hAnsi="Symbol" w:hint="default"/>
      </w:rPr>
    </w:lvl>
    <w:lvl w:ilvl="4" w:tplc="E8243F1C">
      <w:start w:val="1"/>
      <w:numFmt w:val="bullet"/>
      <w:lvlText w:val="o"/>
      <w:lvlJc w:val="left"/>
      <w:pPr>
        <w:ind w:left="3600" w:hanging="360"/>
      </w:pPr>
      <w:rPr>
        <w:rFonts w:ascii="Courier New" w:hAnsi="Courier New" w:hint="default"/>
      </w:rPr>
    </w:lvl>
    <w:lvl w:ilvl="5" w:tplc="A2E01314">
      <w:start w:val="1"/>
      <w:numFmt w:val="bullet"/>
      <w:lvlText w:val=""/>
      <w:lvlJc w:val="left"/>
      <w:pPr>
        <w:ind w:left="4320" w:hanging="360"/>
      </w:pPr>
      <w:rPr>
        <w:rFonts w:ascii="Wingdings" w:hAnsi="Wingdings" w:hint="default"/>
      </w:rPr>
    </w:lvl>
    <w:lvl w:ilvl="6" w:tplc="66EABDAA">
      <w:start w:val="1"/>
      <w:numFmt w:val="bullet"/>
      <w:lvlText w:val=""/>
      <w:lvlJc w:val="left"/>
      <w:pPr>
        <w:ind w:left="5040" w:hanging="360"/>
      </w:pPr>
      <w:rPr>
        <w:rFonts w:ascii="Symbol" w:hAnsi="Symbol" w:hint="default"/>
      </w:rPr>
    </w:lvl>
    <w:lvl w:ilvl="7" w:tplc="AA703FEE">
      <w:start w:val="1"/>
      <w:numFmt w:val="bullet"/>
      <w:lvlText w:val="o"/>
      <w:lvlJc w:val="left"/>
      <w:pPr>
        <w:ind w:left="5760" w:hanging="360"/>
      </w:pPr>
      <w:rPr>
        <w:rFonts w:ascii="Courier New" w:hAnsi="Courier New" w:hint="default"/>
      </w:rPr>
    </w:lvl>
    <w:lvl w:ilvl="8" w:tplc="0958E9FE">
      <w:start w:val="1"/>
      <w:numFmt w:val="bullet"/>
      <w:lvlText w:val=""/>
      <w:lvlJc w:val="left"/>
      <w:pPr>
        <w:ind w:left="6480" w:hanging="360"/>
      </w:pPr>
      <w:rPr>
        <w:rFonts w:ascii="Wingdings" w:hAnsi="Wingdings" w:hint="default"/>
      </w:rPr>
    </w:lvl>
  </w:abstractNum>
  <w:num w:numId="1" w16cid:durableId="969047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E3"/>
    <w:rsid w:val="00915A7A"/>
    <w:rsid w:val="009F2EE3"/>
    <w:rsid w:val="00B00F26"/>
    <w:rsid w:val="00C10EAB"/>
    <w:rsid w:val="00CC1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7D1443F-ADA6-FD45-B9F0-05FBA68A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E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2024-08-06T15:16:00Z</dcterms:created>
  <dcterms:modified xsi:type="dcterms:W3CDTF">2024-08-06T15:17:00Z</dcterms:modified>
</cp:coreProperties>
</file>