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11" w:type="dxa"/>
        <w:tblLook w:val="04A0" w:firstRow="1" w:lastRow="0" w:firstColumn="1" w:lastColumn="0" w:noHBand="0" w:noVBand="1"/>
      </w:tblPr>
      <w:tblGrid>
        <w:gridCol w:w="4248"/>
        <w:gridCol w:w="1701"/>
        <w:gridCol w:w="1842"/>
        <w:gridCol w:w="1620"/>
      </w:tblGrid>
      <w:tr w:rsidR="008E3B0C" w:rsidRPr="002209B8" w:rsidTr="00E23BEB">
        <w:trPr>
          <w:trHeight w:val="307"/>
        </w:trPr>
        <w:tc>
          <w:tcPr>
            <w:tcW w:w="94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B0C" w:rsidRPr="002209B8" w:rsidRDefault="008E3B0C" w:rsidP="00E23BE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</w:pPr>
            <w:r w:rsidRPr="00F3087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Y"/>
              </w:rPr>
              <w:t>Supplementary</w:t>
            </w:r>
            <w:r w:rsidRPr="00AC47CC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Y"/>
              </w:rPr>
              <w:t xml:space="preserve"> Table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Y"/>
              </w:rPr>
              <w:t>4</w:t>
            </w:r>
            <w:r w:rsidRPr="00A051E8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Y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Third</w:t>
            </w:r>
            <w:r w:rsidRPr="00A051E8">
              <w:rPr>
                <w:rFonts w:asciiTheme="majorBidi" w:hAnsiTheme="majorBidi" w:cstheme="majorBidi"/>
                <w:sz w:val="24"/>
                <w:szCs w:val="24"/>
                <w:lang w:bidi="ar-SY"/>
              </w:rPr>
              <w:t xml:space="preserve"> axis questions.</w:t>
            </w:r>
          </w:p>
        </w:tc>
      </w:tr>
      <w:tr w:rsidR="008E3B0C" w:rsidRPr="002209B8" w:rsidTr="00E23BEB">
        <w:trPr>
          <w:trHeight w:val="307"/>
        </w:trPr>
        <w:tc>
          <w:tcPr>
            <w:tcW w:w="4248" w:type="dxa"/>
            <w:vMerge w:val="restart"/>
            <w:tcBorders>
              <w:top w:val="single" w:sz="4" w:space="0" w:color="auto"/>
            </w:tcBorders>
            <w:vAlign w:val="center"/>
          </w:tcPr>
          <w:p w:rsidR="008E3B0C" w:rsidRPr="002209B8" w:rsidRDefault="008E3B0C" w:rsidP="00E23BE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  <w:t>I</w:t>
            </w:r>
            <w:r w:rsidRPr="002209B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  <w:t xml:space="preserve">nformation about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  <w:t xml:space="preserve">risk factors of  </w:t>
            </w:r>
            <w:r w:rsidRPr="002209B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  <w:t>breast cancer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8E3B0C" w:rsidRPr="002209B8" w:rsidRDefault="008E3B0C" w:rsidP="00E23BE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</w:pPr>
            <w:r w:rsidRPr="002209B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  <w:t>Answers</w:t>
            </w:r>
          </w:p>
        </w:tc>
      </w:tr>
      <w:tr w:rsidR="008E3B0C" w:rsidRPr="002209B8" w:rsidTr="00E23BEB">
        <w:trPr>
          <w:trHeight w:val="307"/>
        </w:trPr>
        <w:tc>
          <w:tcPr>
            <w:tcW w:w="4248" w:type="dxa"/>
            <w:vMerge/>
            <w:vAlign w:val="center"/>
          </w:tcPr>
          <w:p w:rsidR="008E3B0C" w:rsidRPr="002209B8" w:rsidRDefault="008E3B0C" w:rsidP="00E23BE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</w:pPr>
          </w:p>
        </w:tc>
        <w:tc>
          <w:tcPr>
            <w:tcW w:w="1701" w:type="dxa"/>
            <w:tcBorders>
              <w:top w:val="nil"/>
              <w:right w:val="nil"/>
            </w:tcBorders>
            <w:vAlign w:val="center"/>
          </w:tcPr>
          <w:p w:rsidR="008E3B0C" w:rsidRPr="002209B8" w:rsidRDefault="008E3B0C" w:rsidP="00E23BE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</w:pPr>
            <w:r w:rsidRPr="002209B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vAlign w:val="center"/>
          </w:tcPr>
          <w:p w:rsidR="008E3B0C" w:rsidRPr="002209B8" w:rsidRDefault="008E3B0C" w:rsidP="00E23BE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</w:pPr>
            <w:r w:rsidRPr="002209B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  <w:t>No</w:t>
            </w:r>
          </w:p>
        </w:tc>
        <w:tc>
          <w:tcPr>
            <w:tcW w:w="1620" w:type="dxa"/>
            <w:tcBorders>
              <w:top w:val="nil"/>
              <w:left w:val="nil"/>
            </w:tcBorders>
            <w:vAlign w:val="center"/>
          </w:tcPr>
          <w:p w:rsidR="008E3B0C" w:rsidRPr="002209B8" w:rsidRDefault="008E3B0C" w:rsidP="00E23BE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</w:pPr>
            <w:r w:rsidRPr="002209B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  <w:t>I don’t know</w:t>
            </w:r>
          </w:p>
        </w:tc>
      </w:tr>
      <w:tr w:rsidR="008E3B0C" w:rsidRPr="00C3299B" w:rsidTr="00E23BEB">
        <w:tc>
          <w:tcPr>
            <w:tcW w:w="4248" w:type="dxa"/>
          </w:tcPr>
          <w:p w:rsidR="008E3B0C" w:rsidRPr="00C3299B" w:rsidRDefault="008E3B0C" w:rsidP="00E23BEB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0019DD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Having a family history of breast cancer</w:t>
            </w:r>
            <w:r w:rsidRPr="00C3299B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.</w:t>
            </w:r>
          </w:p>
        </w:tc>
        <w:tc>
          <w:tcPr>
            <w:tcW w:w="1701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565 (95.9%)</w:t>
            </w:r>
          </w:p>
        </w:tc>
        <w:tc>
          <w:tcPr>
            <w:tcW w:w="1842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13 (2.2%)</w:t>
            </w:r>
          </w:p>
        </w:tc>
        <w:tc>
          <w:tcPr>
            <w:tcW w:w="1620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11 (1.9%)</w:t>
            </w:r>
          </w:p>
        </w:tc>
      </w:tr>
      <w:tr w:rsidR="008E3B0C" w:rsidRPr="00C3299B" w:rsidTr="00E23BEB">
        <w:tc>
          <w:tcPr>
            <w:tcW w:w="4248" w:type="dxa"/>
          </w:tcPr>
          <w:p w:rsidR="008E3B0C" w:rsidRPr="00C3299B" w:rsidRDefault="008E3B0C" w:rsidP="00E23BEB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0019DD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Early onset of puberty</w:t>
            </w:r>
            <w:r w:rsidRPr="00C3299B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.</w:t>
            </w:r>
          </w:p>
        </w:tc>
        <w:tc>
          <w:tcPr>
            <w:tcW w:w="1701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215 (36.5%)</w:t>
            </w:r>
          </w:p>
        </w:tc>
        <w:tc>
          <w:tcPr>
            <w:tcW w:w="1842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198 (33.6%)</w:t>
            </w:r>
          </w:p>
        </w:tc>
        <w:tc>
          <w:tcPr>
            <w:tcW w:w="1620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176 (29.9%)</w:t>
            </w:r>
          </w:p>
        </w:tc>
      </w:tr>
      <w:tr w:rsidR="008E3B0C" w:rsidRPr="00C3299B" w:rsidTr="00E23BEB">
        <w:tc>
          <w:tcPr>
            <w:tcW w:w="4248" w:type="dxa"/>
          </w:tcPr>
          <w:p w:rsidR="008E3B0C" w:rsidRPr="00C3299B" w:rsidRDefault="008E3B0C" w:rsidP="00E23BEB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0019DD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Late menopause</w:t>
            </w: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.</w:t>
            </w:r>
          </w:p>
        </w:tc>
        <w:tc>
          <w:tcPr>
            <w:tcW w:w="1701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227 (38.5%)</w:t>
            </w:r>
          </w:p>
        </w:tc>
        <w:tc>
          <w:tcPr>
            <w:tcW w:w="1842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152 (25.8%)</w:t>
            </w:r>
          </w:p>
        </w:tc>
        <w:tc>
          <w:tcPr>
            <w:tcW w:w="1620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210 (35.7%)</w:t>
            </w:r>
          </w:p>
        </w:tc>
      </w:tr>
      <w:tr w:rsidR="008E3B0C" w:rsidRPr="00C3299B" w:rsidTr="00E23BEB">
        <w:tc>
          <w:tcPr>
            <w:tcW w:w="4248" w:type="dxa"/>
          </w:tcPr>
          <w:p w:rsidR="008E3B0C" w:rsidRPr="00C3299B" w:rsidRDefault="008E3B0C" w:rsidP="00E23BEB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proofErr w:type="spellStart"/>
            <w:r w:rsidRPr="000019DD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Nulliparity</w:t>
            </w:r>
            <w:proofErr w:type="spellEnd"/>
            <w:r w:rsidRPr="00C3299B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.</w:t>
            </w:r>
          </w:p>
        </w:tc>
        <w:tc>
          <w:tcPr>
            <w:tcW w:w="1701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283 (48.0%)</w:t>
            </w:r>
          </w:p>
        </w:tc>
        <w:tc>
          <w:tcPr>
            <w:tcW w:w="1842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146 (24.8%)</w:t>
            </w:r>
          </w:p>
        </w:tc>
        <w:tc>
          <w:tcPr>
            <w:tcW w:w="1620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160 (27.2%)</w:t>
            </w:r>
          </w:p>
        </w:tc>
      </w:tr>
      <w:tr w:rsidR="008E3B0C" w:rsidRPr="00C3299B" w:rsidTr="00E23BEB">
        <w:tc>
          <w:tcPr>
            <w:tcW w:w="4248" w:type="dxa"/>
          </w:tcPr>
          <w:p w:rsidR="008E3B0C" w:rsidRPr="00C3299B" w:rsidRDefault="008E3B0C" w:rsidP="00E23BEB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0019DD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Oral contraceptive use</w:t>
            </w:r>
            <w:r w:rsidRPr="00C3299B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.</w:t>
            </w:r>
          </w:p>
        </w:tc>
        <w:tc>
          <w:tcPr>
            <w:tcW w:w="1701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372 (63.2%)</w:t>
            </w:r>
          </w:p>
        </w:tc>
        <w:tc>
          <w:tcPr>
            <w:tcW w:w="1842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89 (15.1%)</w:t>
            </w:r>
          </w:p>
        </w:tc>
        <w:tc>
          <w:tcPr>
            <w:tcW w:w="1620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128 (21.7%)</w:t>
            </w:r>
          </w:p>
        </w:tc>
      </w:tr>
      <w:tr w:rsidR="008E3B0C" w:rsidRPr="00C3299B" w:rsidTr="00E23BEB">
        <w:tc>
          <w:tcPr>
            <w:tcW w:w="4248" w:type="dxa"/>
          </w:tcPr>
          <w:p w:rsidR="008E3B0C" w:rsidRPr="00C3299B" w:rsidRDefault="008E3B0C" w:rsidP="00E23BEB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0019DD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Estrogen use after menopause</w:t>
            </w:r>
            <w:r w:rsidRPr="00C3299B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.</w:t>
            </w:r>
          </w:p>
        </w:tc>
        <w:tc>
          <w:tcPr>
            <w:tcW w:w="1701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381 (64.7%)</w:t>
            </w:r>
          </w:p>
        </w:tc>
        <w:tc>
          <w:tcPr>
            <w:tcW w:w="1842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45 (7.6%)</w:t>
            </w:r>
          </w:p>
        </w:tc>
        <w:tc>
          <w:tcPr>
            <w:tcW w:w="1620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163 (27.7%)</w:t>
            </w:r>
          </w:p>
        </w:tc>
      </w:tr>
      <w:tr w:rsidR="008E3B0C" w:rsidRPr="00C3299B" w:rsidTr="00E23BEB">
        <w:tc>
          <w:tcPr>
            <w:tcW w:w="4248" w:type="dxa"/>
          </w:tcPr>
          <w:p w:rsidR="008E3B0C" w:rsidRPr="00C3299B" w:rsidRDefault="008E3B0C" w:rsidP="00E23BEB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0019DD">
              <w:rPr>
                <w:rFonts w:asciiTheme="majorBidi" w:hAnsiTheme="majorBidi" w:cstheme="majorBidi"/>
                <w:sz w:val="24"/>
                <w:szCs w:val="24"/>
                <w:lang w:bidi="ar-SY"/>
              </w:rPr>
              <w:t xml:space="preserve">Previous breast </w:t>
            </w: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bruises</w:t>
            </w:r>
            <w:r w:rsidRPr="00C3299B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.</w:t>
            </w:r>
          </w:p>
        </w:tc>
        <w:tc>
          <w:tcPr>
            <w:tcW w:w="1701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217 (36.8%)</w:t>
            </w:r>
          </w:p>
        </w:tc>
        <w:tc>
          <w:tcPr>
            <w:tcW w:w="1842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153 (26.0%)</w:t>
            </w:r>
          </w:p>
        </w:tc>
        <w:tc>
          <w:tcPr>
            <w:tcW w:w="1620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219 (37.2%)</w:t>
            </w:r>
          </w:p>
        </w:tc>
      </w:tr>
      <w:tr w:rsidR="008E3B0C" w:rsidRPr="00C3299B" w:rsidTr="00E23BEB">
        <w:tc>
          <w:tcPr>
            <w:tcW w:w="4248" w:type="dxa"/>
          </w:tcPr>
          <w:p w:rsidR="008E3B0C" w:rsidRPr="00C3299B" w:rsidRDefault="008E3B0C" w:rsidP="00E23BEB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0019DD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Previous benign mass</w:t>
            </w: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.</w:t>
            </w:r>
          </w:p>
        </w:tc>
        <w:tc>
          <w:tcPr>
            <w:tcW w:w="1701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392 (66.6%)</w:t>
            </w:r>
          </w:p>
        </w:tc>
        <w:tc>
          <w:tcPr>
            <w:tcW w:w="1842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89 (15.1%)</w:t>
            </w:r>
          </w:p>
        </w:tc>
        <w:tc>
          <w:tcPr>
            <w:tcW w:w="1620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108 (18.3%)</w:t>
            </w:r>
          </w:p>
        </w:tc>
      </w:tr>
      <w:tr w:rsidR="008E3B0C" w:rsidRPr="00C3299B" w:rsidTr="00E23BEB">
        <w:tc>
          <w:tcPr>
            <w:tcW w:w="4248" w:type="dxa"/>
          </w:tcPr>
          <w:p w:rsidR="008E3B0C" w:rsidRPr="00C3299B" w:rsidRDefault="008E3B0C" w:rsidP="00E23BEB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0019DD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Previous inflammatory breast disease</w:t>
            </w:r>
            <w:r w:rsidRPr="00C3299B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.</w:t>
            </w:r>
          </w:p>
        </w:tc>
        <w:tc>
          <w:tcPr>
            <w:tcW w:w="1701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311 (52.8%)</w:t>
            </w:r>
          </w:p>
        </w:tc>
        <w:tc>
          <w:tcPr>
            <w:tcW w:w="1842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83 (14.1%)</w:t>
            </w:r>
          </w:p>
        </w:tc>
        <w:tc>
          <w:tcPr>
            <w:tcW w:w="1620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195 (33.1%)</w:t>
            </w:r>
          </w:p>
        </w:tc>
      </w:tr>
      <w:tr w:rsidR="008E3B0C" w:rsidRPr="00C3299B" w:rsidTr="00E23BEB">
        <w:tc>
          <w:tcPr>
            <w:tcW w:w="4248" w:type="dxa"/>
          </w:tcPr>
          <w:p w:rsidR="008E3B0C" w:rsidRPr="00C3299B" w:rsidRDefault="008E3B0C" w:rsidP="00E23BEB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0019DD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Alcohol consumption</w:t>
            </w: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.</w:t>
            </w:r>
          </w:p>
        </w:tc>
        <w:tc>
          <w:tcPr>
            <w:tcW w:w="1701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317 (53.8%)</w:t>
            </w:r>
          </w:p>
        </w:tc>
        <w:tc>
          <w:tcPr>
            <w:tcW w:w="1842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97 (16.5%)</w:t>
            </w:r>
          </w:p>
        </w:tc>
        <w:tc>
          <w:tcPr>
            <w:tcW w:w="1620" w:type="dxa"/>
            <w:vAlign w:val="center"/>
          </w:tcPr>
          <w:p w:rsidR="008E3B0C" w:rsidRPr="00C3299B" w:rsidRDefault="008E3B0C" w:rsidP="00E23B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175 (29.7%)</w:t>
            </w:r>
          </w:p>
        </w:tc>
      </w:tr>
      <w:tr w:rsidR="008E3B0C" w:rsidRPr="00C3299B" w:rsidTr="00E23BEB">
        <w:trPr>
          <w:trHeight w:val="121"/>
        </w:trPr>
        <w:tc>
          <w:tcPr>
            <w:tcW w:w="4248" w:type="dxa"/>
          </w:tcPr>
          <w:p w:rsidR="008E3B0C" w:rsidRPr="00C3299B" w:rsidRDefault="008E3B0C" w:rsidP="00E23BE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0019DD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Aging</w:t>
            </w: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.</w:t>
            </w:r>
          </w:p>
        </w:tc>
        <w:tc>
          <w:tcPr>
            <w:tcW w:w="1701" w:type="dxa"/>
            <w:vAlign w:val="center"/>
          </w:tcPr>
          <w:p w:rsidR="008E3B0C" w:rsidRPr="00C3299B" w:rsidRDefault="008E3B0C" w:rsidP="00E23BE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419 (71.1%)</w:t>
            </w:r>
          </w:p>
        </w:tc>
        <w:tc>
          <w:tcPr>
            <w:tcW w:w="1842" w:type="dxa"/>
            <w:vAlign w:val="center"/>
          </w:tcPr>
          <w:p w:rsidR="008E3B0C" w:rsidRPr="00C3299B" w:rsidRDefault="008E3B0C" w:rsidP="00E23BE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72 (12.2%)</w:t>
            </w:r>
          </w:p>
        </w:tc>
        <w:tc>
          <w:tcPr>
            <w:tcW w:w="1620" w:type="dxa"/>
            <w:vAlign w:val="center"/>
          </w:tcPr>
          <w:p w:rsidR="008E3B0C" w:rsidRPr="00C3299B" w:rsidRDefault="008E3B0C" w:rsidP="00E23BE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98 (16.6%)</w:t>
            </w:r>
          </w:p>
        </w:tc>
      </w:tr>
      <w:tr w:rsidR="008E3B0C" w:rsidRPr="00C3299B" w:rsidTr="00E23BEB">
        <w:trPr>
          <w:trHeight w:val="70"/>
        </w:trPr>
        <w:tc>
          <w:tcPr>
            <w:tcW w:w="4248" w:type="dxa"/>
          </w:tcPr>
          <w:p w:rsidR="008E3B0C" w:rsidRPr="00C3299B" w:rsidRDefault="008E3B0C" w:rsidP="00E23BEB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0019DD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Increased weight (BMI&gt;25)</w:t>
            </w: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.</w:t>
            </w:r>
          </w:p>
        </w:tc>
        <w:tc>
          <w:tcPr>
            <w:tcW w:w="1701" w:type="dxa"/>
            <w:vAlign w:val="center"/>
          </w:tcPr>
          <w:p w:rsidR="008E3B0C" w:rsidRPr="00C3299B" w:rsidRDefault="008E3B0C" w:rsidP="00E23BE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284 (48.2%)</w:t>
            </w:r>
          </w:p>
        </w:tc>
        <w:tc>
          <w:tcPr>
            <w:tcW w:w="1842" w:type="dxa"/>
            <w:vAlign w:val="center"/>
          </w:tcPr>
          <w:p w:rsidR="008E3B0C" w:rsidRPr="00C3299B" w:rsidRDefault="008E3B0C" w:rsidP="00E23BE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99 (16.8%)</w:t>
            </w:r>
          </w:p>
        </w:tc>
        <w:tc>
          <w:tcPr>
            <w:tcW w:w="1620" w:type="dxa"/>
            <w:vAlign w:val="center"/>
          </w:tcPr>
          <w:p w:rsidR="008E3B0C" w:rsidRPr="00C3299B" w:rsidRDefault="008E3B0C" w:rsidP="00E23BE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206 (35.0%)</w:t>
            </w:r>
          </w:p>
        </w:tc>
      </w:tr>
    </w:tbl>
    <w:p w:rsidR="008E3B0C" w:rsidRDefault="008E3B0C" w:rsidP="008E3B0C">
      <w:pPr>
        <w:rPr>
          <w:rFonts w:asciiTheme="majorBidi" w:hAnsiTheme="majorBidi" w:cstheme="majorBidi"/>
          <w:b/>
          <w:bCs/>
          <w:sz w:val="32"/>
          <w:szCs w:val="32"/>
          <w:lang w:bidi="ar-SY"/>
        </w:rPr>
      </w:pPr>
    </w:p>
    <w:p w:rsidR="00357BC0" w:rsidRPr="008E3B0C" w:rsidRDefault="008E3B0C" w:rsidP="008E3B0C">
      <w:pPr>
        <w:rPr>
          <w:lang w:bidi="ar-SY"/>
        </w:rPr>
      </w:pPr>
      <w:bookmarkStart w:id="0" w:name="_GoBack"/>
      <w:bookmarkEnd w:id="0"/>
    </w:p>
    <w:sectPr w:rsidR="00357BC0" w:rsidRPr="008E3B0C" w:rsidSect="006807A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con modified">
    <w:panose1 w:val="020A0503020102020204"/>
    <w:charset w:val="00"/>
    <w:family w:val="roman"/>
    <w:pitch w:val="variable"/>
    <w:sig w:usb0="800020AF" w:usb1="8000004A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B0C"/>
    <w:rsid w:val="0011763E"/>
    <w:rsid w:val="006807A7"/>
    <w:rsid w:val="008C6501"/>
    <w:rsid w:val="008E3B0C"/>
    <w:rsid w:val="00D000D6"/>
    <w:rsid w:val="00E1237A"/>
    <w:rsid w:val="00E4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64BDFC-A120-49DC-A86B-9AB42C74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B0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F4">
    <w:name w:val="21 عنوان F4"/>
    <w:basedOn w:val="Normal"/>
    <w:next w:val="Normal"/>
    <w:uiPriority w:val="11"/>
    <w:qFormat/>
    <w:rsid w:val="00E431B1"/>
    <w:pPr>
      <w:pBdr>
        <w:bottom w:val="single" w:sz="24" w:space="1" w:color="117D68"/>
      </w:pBdr>
      <w:bidi/>
      <w:spacing w:before="120" w:after="120" w:line="276" w:lineRule="auto"/>
      <w:jc w:val="center"/>
    </w:pPr>
    <w:rPr>
      <w:rFonts w:ascii="Cocon modified" w:eastAsiaTheme="minorHAnsi" w:hAnsi="Cocon modified" w:cs="Simplified Arabic"/>
      <w:color w:val="595959" w:themeColor="text1" w:themeTint="A6"/>
      <w:sz w:val="40"/>
      <w:szCs w:val="36"/>
    </w:rPr>
  </w:style>
  <w:style w:type="table" w:styleId="TableGrid">
    <w:name w:val="Table Grid"/>
    <w:basedOn w:val="TableNormal"/>
    <w:uiPriority w:val="39"/>
    <w:rsid w:val="008E3B0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692</Characters>
  <Application>Microsoft Office Word</Application>
  <DocSecurity>0</DocSecurity>
  <Lines>138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2024-01-01T18:03:00Z</dcterms:created>
  <dcterms:modified xsi:type="dcterms:W3CDTF">2024-01-01T18:04:00Z</dcterms:modified>
</cp:coreProperties>
</file>