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BD7C4">
      <w:pPr>
        <w:keepNext w:val="0"/>
        <w:keepLines w:val="0"/>
        <w:widowControl/>
        <w:suppressLineNumbers w:val="0"/>
        <w:jc w:val="left"/>
        <w:rPr>
          <w:rFonts w:hint="default" w:ascii="Palatino Linotype" w:hAnsi="Palatino Linotype" w:eastAsia="黑体" w:cs="Palatino Linotype"/>
          <w:szCs w:val="21"/>
        </w:rPr>
      </w:pPr>
      <w:r>
        <w:rPr>
          <w:rFonts w:hint="default" w:ascii="Palatino Linotype" w:hAnsi="Palatino Linotype" w:eastAsia="宋体" w:cs="Palatino Linotype"/>
          <w:b/>
          <w:bCs/>
          <w:lang w:val="en-US" w:eastAsia="zh-CN"/>
        </w:rPr>
        <w:t>Study 1_Data analysis</w:t>
      </w:r>
      <w:r>
        <w:rPr>
          <w:rFonts w:hint="default" w:ascii="Palatino Linotype" w:hAnsi="Palatino Linotype" w:eastAsia="宋体" w:cs="Palatino Linotype"/>
          <w:lang w:val="en-US" w:eastAsia="zh-CN"/>
        </w:rPr>
        <w:br w:type="textWrapping"/>
      </w:r>
      <w:r>
        <w:rPr>
          <w:rFonts w:hint="default" w:ascii="Palatino Linotype" w:hAnsi="Palatino Linotype" w:eastAsia="宋体" w:cs="Palatino Linotype"/>
          <w:lang w:val="en-US" w:eastAsia="zh-CN"/>
        </w:rPr>
        <w:t xml:space="preserve">Multiverse analysis integrates all possible and reasonable analysis strategies to reduce subjective biases of researchers during data analysis, such as selecting only significant or favorable results, thereby enhancing the robustness of the effect of interest </w:t>
      </w:r>
      <w:r>
        <w:rPr>
          <w:rFonts w:hint="eastAsia" w:ascii="Palatino Linotype" w:hAnsi="Palatino Linotype" w:eastAsia="宋体" w:cs="Palatino Linotype"/>
          <w:lang w:val="en-US" w:eastAsia="zh-CN"/>
        </w:rPr>
        <w:t>[1]</w:t>
      </w:r>
      <w:r>
        <w:rPr>
          <w:rFonts w:hint="default" w:ascii="Palatino Linotype" w:hAnsi="Palatino Linotype" w:eastAsia="宋体" w:cs="Palatino Linotype"/>
          <w:lang w:val="en-US" w:eastAsia="zh-CN"/>
        </w:rPr>
        <w:t xml:space="preserve">. Multiverse analysis primarily involves three steps: (1) Determining the full set of all analysis strategies. Typically, this includes listing all possible analysis strategies, involving theoretical and reasonable manipulations of variables such as measurement methods, variable types, and control variables, thereby generating various analysis strategies. (2) Estimating and describing the effects of all analysis strategies. This step involves estimating and describing the effects of all identified combinations of analysis strategies and presenting their distribution. (3) Conducting an overall statistical inference for all analysis strategies. This considers how the distribution of effects from these strategy combinations diverges from the distribution under the null hypothesis. Specifically, by altering the original data to form a null hypothesis dataset and then using the bootstrap method to resample from this dataset (e.g., sampling 500 times), the distribution of effects on burnout under the null hypothesis is generated. Finally, statistical indicators are used to test whether there is a difference between the distribution of sampled effects and the distribution under the actual data. Statistical inference indicators include the median value of all strategy combination effects (Median </w:t>
      </w:r>
      <w:r>
        <w:rPr>
          <w:rFonts w:hint="default" w:ascii="Palatino Linotype" w:hAnsi="Palatino Linotype" w:eastAsia="宋体" w:cs="Palatino Linotype"/>
          <w:i/>
          <w:iCs/>
          <w:lang w:val="en-US" w:eastAsia="zh-CN"/>
        </w:rPr>
        <w:t>β</w:t>
      </w:r>
      <w:r>
        <w:rPr>
          <w:rFonts w:hint="default" w:ascii="Palatino Linotype" w:hAnsi="Palatino Linotype" w:eastAsia="宋体" w:cs="Palatino Linotype"/>
          <w:lang w:val="en-US" w:eastAsia="zh-CN"/>
        </w:rPr>
        <w:t xml:space="preserve">) and number of significant results in predominant direction (NSRPD). Lastly, the square of the partial correlation coefficient corresponding to Median </w:t>
      </w:r>
      <w:r>
        <w:rPr>
          <w:rFonts w:hint="default" w:ascii="Palatino Linotype" w:hAnsi="Palatino Linotype" w:eastAsia="宋体" w:cs="Palatino Linotype"/>
          <w:i/>
          <w:iCs/>
          <w:lang w:val="en-US" w:eastAsia="zh-CN"/>
        </w:rPr>
        <w:t>β</w:t>
      </w:r>
      <w:r>
        <w:rPr>
          <w:rFonts w:hint="default" w:ascii="Palatino Linotype" w:hAnsi="Palatino Linotype" w:eastAsia="宋体" w:cs="Palatino Linotype"/>
          <w:lang w:val="en-US" w:eastAsia="zh-CN"/>
        </w:rPr>
        <w:t xml:space="preserve"> (partial </w:t>
      </w:r>
      <w:r>
        <w:rPr>
          <w:rFonts w:hint="default" w:ascii="Palatino Linotype" w:hAnsi="Palatino Linotype" w:eastAsia="宋体" w:cs="Palatino Linotype"/>
          <w:i/>
          <w:iCs/>
          <w:lang w:val="en-US" w:eastAsia="zh-CN"/>
        </w:rPr>
        <w:t>r</w:t>
      </w:r>
      <w:r>
        <w:rPr>
          <w:rFonts w:hint="default" w:ascii="Palatino Linotype" w:hAnsi="Palatino Linotype" w:eastAsia="宋体" w:cs="Palatino Linotype"/>
          <w:i/>
          <w:iCs/>
          <w:sz w:val="21"/>
          <w:vertAlign w:val="superscript"/>
          <w:lang w:val="en-US" w:eastAsia="zh-CN"/>
        </w:rPr>
        <w:t>2</w:t>
      </w:r>
      <w:r>
        <w:rPr>
          <w:rFonts w:hint="default" w:ascii="Palatino Linotype" w:hAnsi="Palatino Linotype" w:eastAsia="宋体" w:cs="Palatino Linotype"/>
          <w:lang w:val="en-US" w:eastAsia="zh-CN"/>
        </w:rPr>
        <w:t xml:space="preserve">) serves as the effect size. In large-scale epidemiological surveys, a partial </w:t>
      </w:r>
      <w:r>
        <w:rPr>
          <w:rFonts w:hint="default" w:ascii="Palatino Linotype" w:hAnsi="Palatino Linotype" w:eastAsia="宋体" w:cs="Palatino Linotype"/>
          <w:i/>
          <w:iCs/>
          <w:lang w:val="en-US" w:eastAsia="zh-CN"/>
        </w:rPr>
        <w:t>r</w:t>
      </w:r>
      <w:r>
        <w:rPr>
          <w:rFonts w:hint="default" w:ascii="Palatino Linotype" w:hAnsi="Palatino Linotype" w:eastAsia="宋体" w:cs="Palatino Linotype"/>
          <w:i/>
          <w:iCs/>
          <w:sz w:val="21"/>
          <w:vertAlign w:val="superscript"/>
          <w:lang w:val="en-US" w:eastAsia="zh-CN"/>
        </w:rPr>
        <w:t>2</w:t>
      </w:r>
      <w:r>
        <w:rPr>
          <w:rFonts w:hint="default" w:ascii="Palatino Linotype" w:hAnsi="Palatino Linotype" w:eastAsia="宋体" w:cs="Palatino Linotype"/>
          <w:lang w:val="en-US" w:eastAsia="zh-CN"/>
        </w:rPr>
        <w:t xml:space="preserve"> greater than 0.01 is considered significant enough to attract the attention of researchers and influence social policies [</w:t>
      </w:r>
      <w:r>
        <w:rPr>
          <w:rFonts w:hint="eastAsia" w:ascii="Palatino Linotype" w:hAnsi="Palatino Linotype" w:eastAsia="宋体" w:cs="Palatino Linotype"/>
          <w:lang w:val="en-US" w:eastAsia="zh-CN"/>
        </w:rPr>
        <w:t>2</w:t>
      </w:r>
      <w:bookmarkStart w:id="0" w:name="_GoBack"/>
      <w:bookmarkEnd w:id="0"/>
      <w:r>
        <w:rPr>
          <w:rFonts w:hint="default" w:ascii="Palatino Linotype" w:hAnsi="Palatino Linotype" w:eastAsia="宋体" w:cs="Palatino Linotype"/>
          <w:lang w:val="en-US" w:eastAsia="zh-CN"/>
        </w:rPr>
        <w:t>].</w:t>
      </w:r>
    </w:p>
    <w:p w14:paraId="24C258D2">
      <w:pPr>
        <w:rPr>
          <w:rFonts w:hint="default" w:ascii="Palatino Linotype" w:hAnsi="Palatino Linotype" w:cs="Palatino Linotype"/>
          <w:lang w:val="en-US" w:eastAsia="zh-CN"/>
        </w:rPr>
      </w:pPr>
      <w:r>
        <w:rPr>
          <w:rFonts w:hint="default" w:ascii="Palatino Linotype" w:hAnsi="Palatino Linotype" w:cs="Palatino Linotype"/>
          <w:lang w:val="en-US" w:eastAsia="zh-CN"/>
        </w:rPr>
        <w:t>1.Huang, S., Chen, H., Lai, X., Dai, X., &amp; Wang, Y. (2023). Multiverse-style analysis: Introduction and application. Advances in Psychological Science, 31(2), 196−208.</w:t>
      </w:r>
    </w:p>
    <w:p w14:paraId="29CBB9F9">
      <w:pPr>
        <w:rPr>
          <w:rFonts w:hint="default" w:ascii="Palatino Linotype" w:hAnsi="Palatino Linotype" w:cs="Palatino Linotype"/>
          <w:lang w:val="en-US" w:eastAsia="zh-CN"/>
        </w:rPr>
      </w:pPr>
      <w:r>
        <w:rPr>
          <w:rFonts w:hint="default" w:ascii="Palatino Linotype" w:hAnsi="Palatino Linotype" w:cs="Palatino Linotype"/>
          <w:lang w:val="en-US" w:eastAsia="zh-CN"/>
        </w:rPr>
        <w:t>2.Rijnhart, J. J. M., Twisk, J. W. R., Deeg, D. J. H., &amp; Heymans, M. W. (2021). Assessing the Robustness of Mediation Analysis Results Using Multiverse Analysis. Prevention Science, 23(5), 821–831. https://doi.org/10.1007/s11121-021-01280-1</w:t>
      </w:r>
    </w:p>
    <w:p w14:paraId="0AB4DB80">
      <w:pPr>
        <w:rPr>
          <w:rFonts w:hint="default" w:ascii="Palatino Linotype" w:hAnsi="Palatino Linotype" w:cs="Palatino Linotype"/>
        </w:rPr>
      </w:pPr>
    </w:p>
    <w:p w14:paraId="1911C113">
      <w:pPr>
        <w:rPr>
          <w:rFonts w:hint="default" w:ascii="Palatino Linotype" w:hAnsi="Palatino Linotype" w:cs="Palatino Linotype"/>
          <w:b/>
          <w:bCs/>
        </w:rPr>
      </w:pPr>
      <w:r>
        <w:rPr>
          <w:rFonts w:hint="default" w:ascii="Palatino Linotype" w:hAnsi="Palatino Linotype" w:eastAsia="宋体" w:cs="Palatino Linotype"/>
          <w:b/>
          <w:bCs/>
          <w:lang w:val="en-US" w:eastAsia="zh-CN"/>
        </w:rPr>
        <w:t>Study 1_Common Method Biases and Descriptive Statistics</w:t>
      </w:r>
    </w:p>
    <w:p w14:paraId="69031A7A">
      <w:pPr>
        <w:rPr>
          <w:rFonts w:hint="default" w:ascii="Palatino Linotype" w:hAnsi="Palatino Linotype" w:cs="Palatino Linotype"/>
          <w:lang w:val="en-US" w:eastAsia="zh-CN"/>
        </w:rPr>
      </w:pPr>
      <w:r>
        <w:rPr>
          <w:rFonts w:hint="default" w:ascii="Palatino Linotype" w:hAnsi="Palatino Linotype" w:cs="Palatino Linotype"/>
          <w:lang w:val="en-US" w:eastAsia="zh-CN"/>
        </w:rPr>
        <w:t xml:space="preserve">Due to the use of self-reported scales for data collection in this study, common method bias may be present. Therefore, the Harman single-factor test was utilized, incorporating mindfulness and job burnout into an exploratory factor analysis. The largest factor explained 31.36% of the variance, which is less than the critical value of 40%, indicating that there is no severe common method bias in this study. </w:t>
      </w:r>
    </w:p>
    <w:p w14:paraId="7BF0131A">
      <w:pPr>
        <w:rPr>
          <w:rFonts w:hint="default" w:ascii="Palatino Linotype" w:hAnsi="Palatino Linotype" w:cs="Palatino Linotype"/>
          <w:lang w:val="en-US" w:eastAsia="zh-CN"/>
        </w:rPr>
      </w:pPr>
      <w:r>
        <w:rPr>
          <w:rFonts w:hint="default" w:ascii="Palatino Linotype" w:hAnsi="Palatino Linotype" w:cs="Palatino Linotype"/>
          <w:lang w:val="en-US" w:eastAsia="zh-CN"/>
        </w:rPr>
        <w:t>The mean score for mindfulness was 61.002 with a standard deviation of 13.284, while job burnout scored an average of 55.122 with a standard deviation of 11.220.</w:t>
      </w:r>
    </w:p>
    <w:p w14:paraId="0C779FAD">
      <w:pPr>
        <w:rPr>
          <w:rFonts w:hint="default" w:ascii="Palatino Linotype" w:hAnsi="Palatino Linotype" w:cs="Palatino Linotype"/>
          <w:lang w:val="en-US" w:eastAsia="zh-CN"/>
        </w:rPr>
      </w:pPr>
    </w:p>
    <w:p w14:paraId="793DAB2B">
      <w:pPr>
        <w:widowControl w:val="0"/>
        <w:numPr>
          <w:ilvl w:val="1"/>
          <w:numId w:val="0"/>
        </w:numPr>
        <w:adjustRightInd w:val="0"/>
        <w:spacing w:line="360" w:lineRule="auto"/>
        <w:jc w:val="left"/>
        <w:rPr>
          <w:rFonts w:hint="default" w:ascii="Palatino Linotype" w:hAnsi="Palatino Linotype" w:eastAsia="宋体" w:cs="Palatino Linotype"/>
          <w:b/>
          <w:bCs/>
          <w:kern w:val="2"/>
          <w:sz w:val="21"/>
          <w:szCs w:val="21"/>
          <w:lang w:val="en-US" w:eastAsia="zh-CN" w:bidi="ar-SA"/>
        </w:rPr>
      </w:pPr>
      <w:r>
        <w:rPr>
          <w:rFonts w:hint="default" w:ascii="Palatino Linotype" w:hAnsi="Palatino Linotype" w:eastAsia="宋体" w:cs="Palatino Linotype"/>
          <w:b/>
          <w:bCs/>
          <w:kern w:val="2"/>
          <w:sz w:val="21"/>
          <w:szCs w:val="21"/>
          <w:lang w:val="en-US" w:eastAsia="zh-CN" w:bidi="ar-SA"/>
        </w:rPr>
        <w:t>Study 2_Common Method Bias, Descriptive Statistics, and Correlation Analyses</w:t>
      </w:r>
    </w:p>
    <w:p w14:paraId="643A2A0F">
      <w:pPr>
        <w:rPr>
          <w:rFonts w:hint="default" w:ascii="Palatino Linotype" w:hAnsi="Palatino Linotype" w:cs="Palatino Linotype"/>
          <w:lang w:val="en-US" w:eastAsia="zh-CN"/>
        </w:rPr>
      </w:pPr>
      <w:r>
        <w:rPr>
          <w:rFonts w:hint="default" w:ascii="Palatino Linotype" w:hAnsi="Palatino Linotype" w:cs="Palatino Linotype"/>
          <w:lang w:val="en-US" w:eastAsia="zh-CN"/>
        </w:rPr>
        <w:t>Using the Harman single-factor test method, mindfulness, perceived organizational support(POS), psychological safety(PS), and burnout were included in an exploratory factor analysis. The pre-test data (with the largest factor explaining 31.54% of the variance) and post-test data (with the largest factor explaining 33.90% of the variance) both showed no significant common method bias. Descriptive statistics and correlations of the study variables are shown in Table 1.</w:t>
      </w:r>
    </w:p>
    <w:p w14:paraId="1CA4543A">
      <w:pPr>
        <w:rPr>
          <w:rFonts w:hint="default" w:ascii="Palatino Linotype" w:hAnsi="Palatino Linotype" w:cs="Palatino Linotype"/>
          <w:lang w:val="en-US" w:eastAsia="zh-CN"/>
        </w:rPr>
      </w:pPr>
    </w:p>
    <w:p w14:paraId="6E17FC3F">
      <w:pPr>
        <w:jc w:val="center"/>
        <w:rPr>
          <w:rFonts w:hint="default" w:ascii="Palatino Linotype" w:hAnsi="Palatino Linotype" w:cs="Palatino Linotype"/>
          <w:lang w:val="en-US" w:eastAsia="zh-CN"/>
        </w:rPr>
      </w:pPr>
      <w:r>
        <w:rPr>
          <w:rFonts w:hint="default" w:ascii="Palatino Linotype" w:hAnsi="Palatino Linotype" w:cs="Palatino Linotype"/>
          <w:lang w:val="en-US" w:eastAsia="zh-CN"/>
        </w:rPr>
        <w:t xml:space="preserve">Table </w:t>
      </w:r>
      <w:r>
        <w:rPr>
          <w:rFonts w:hint="eastAsia" w:ascii="Palatino Linotype" w:hAnsi="Palatino Linotype" w:cs="Palatino Linotype"/>
          <w:lang w:val="en-US" w:eastAsia="zh-CN"/>
        </w:rPr>
        <w:t>S</w:t>
      </w:r>
      <w:r>
        <w:rPr>
          <w:rFonts w:hint="default" w:ascii="Palatino Linotype" w:hAnsi="Palatino Linotype" w:cs="Palatino Linotype"/>
          <w:lang w:val="en-US" w:eastAsia="zh-CN"/>
        </w:rPr>
        <w:t>1  Descriptive Statistics and Correlations between Variables (n=371)</w:t>
      </w:r>
    </w:p>
    <w:tbl>
      <w:tblPr>
        <w:tblStyle w:val="4"/>
        <w:tblW w:w="7266"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6"/>
        <w:gridCol w:w="712"/>
        <w:gridCol w:w="1031"/>
        <w:gridCol w:w="1032"/>
        <w:gridCol w:w="1032"/>
        <w:gridCol w:w="1032"/>
        <w:gridCol w:w="1031"/>
      </w:tblGrid>
      <w:tr w14:paraId="42525E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96" w:type="dxa"/>
            <w:tcBorders>
              <w:top w:val="single" w:color="auto" w:sz="12" w:space="0"/>
              <w:left w:val="nil"/>
              <w:bottom w:val="single" w:color="auto" w:sz="6" w:space="0"/>
              <w:right w:val="nil"/>
              <w:insideH w:val="single" w:sz="6" w:space="0"/>
              <w:insideV w:val="nil"/>
              <w:tl2br w:val="nil"/>
              <w:tr2bl w:val="nil"/>
            </w:tcBorders>
          </w:tcPr>
          <w:p w14:paraId="6B2F4AF8">
            <w:pPr>
              <w:wordWrap/>
              <w:spacing w:line="360" w:lineRule="exact"/>
              <w:jc w:val="center"/>
              <w:rPr>
                <w:rFonts w:hint="default" w:ascii="Palatino Linotype" w:hAnsi="Palatino Linotype" w:eastAsia="宋体" w:cs="Palatino Linotype"/>
                <w:b w:val="0"/>
                <w:i w:val="0"/>
                <w:sz w:val="21"/>
                <w:szCs w:val="22"/>
              </w:rPr>
            </w:pPr>
          </w:p>
        </w:tc>
        <w:tc>
          <w:tcPr>
            <w:tcW w:w="712" w:type="dxa"/>
            <w:tcBorders>
              <w:top w:val="single" w:color="auto" w:sz="12" w:space="0"/>
              <w:bottom w:val="single" w:color="auto" w:sz="6" w:space="0"/>
              <w:right w:val="nil"/>
              <w:insideH w:val="single" w:sz="6" w:space="0"/>
              <w:insideV w:val="nil"/>
              <w:tl2br w:val="nil"/>
              <w:tr2bl w:val="nil"/>
            </w:tcBorders>
          </w:tcPr>
          <w:p w14:paraId="61F54B5B">
            <w:pPr>
              <w:wordWrap/>
              <w:spacing w:line="360" w:lineRule="exact"/>
              <w:jc w:val="center"/>
              <w:rPr>
                <w:rFonts w:hint="default" w:ascii="Palatino Linotype" w:hAnsi="Palatino Linotype" w:eastAsia="宋体" w:cs="Palatino Linotype"/>
                <w:b w:val="0"/>
                <w:i w:val="0"/>
                <w:sz w:val="21"/>
                <w:szCs w:val="22"/>
              </w:rPr>
            </w:pPr>
            <w:r>
              <w:rPr>
                <w:rFonts w:hint="default" w:ascii="Palatino Linotype" w:hAnsi="Palatino Linotype" w:eastAsia="宋体" w:cs="Palatino Linotype"/>
                <w:b w:val="0"/>
                <w:i w:val="0"/>
                <w:sz w:val="21"/>
                <w:szCs w:val="22"/>
              </w:rPr>
              <w:t>M</w:t>
            </w:r>
          </w:p>
        </w:tc>
        <w:tc>
          <w:tcPr>
            <w:tcW w:w="1031" w:type="dxa"/>
            <w:tcBorders>
              <w:top w:val="single" w:color="auto" w:sz="12" w:space="0"/>
              <w:bottom w:val="single" w:color="auto" w:sz="6" w:space="0"/>
              <w:right w:val="nil"/>
              <w:insideH w:val="single" w:sz="6" w:space="0"/>
              <w:insideV w:val="nil"/>
              <w:tl2br w:val="nil"/>
              <w:tr2bl w:val="nil"/>
            </w:tcBorders>
          </w:tcPr>
          <w:p w14:paraId="091B83AF">
            <w:pPr>
              <w:wordWrap/>
              <w:spacing w:line="360" w:lineRule="exact"/>
              <w:jc w:val="center"/>
              <w:rPr>
                <w:rFonts w:hint="default" w:ascii="Palatino Linotype" w:hAnsi="Palatino Linotype" w:eastAsia="宋体" w:cs="Palatino Linotype"/>
                <w:b w:val="0"/>
                <w:i w:val="0"/>
                <w:sz w:val="21"/>
                <w:szCs w:val="22"/>
              </w:rPr>
            </w:pPr>
            <w:r>
              <w:rPr>
                <w:rFonts w:hint="default" w:ascii="Palatino Linotype" w:hAnsi="Palatino Linotype" w:eastAsia="宋体" w:cs="Palatino Linotype"/>
                <w:b w:val="0"/>
                <w:i w:val="0"/>
                <w:sz w:val="21"/>
                <w:szCs w:val="22"/>
              </w:rPr>
              <w:t>SD</w:t>
            </w:r>
          </w:p>
        </w:tc>
        <w:tc>
          <w:tcPr>
            <w:tcW w:w="1032" w:type="dxa"/>
            <w:tcBorders>
              <w:top w:val="single" w:color="auto" w:sz="12" w:space="0"/>
              <w:bottom w:val="single" w:color="auto" w:sz="6" w:space="0"/>
              <w:right w:val="nil"/>
              <w:insideH w:val="single" w:sz="6" w:space="0"/>
              <w:insideV w:val="nil"/>
              <w:tl2br w:val="nil"/>
              <w:tr2bl w:val="nil"/>
            </w:tcBorders>
          </w:tcPr>
          <w:p w14:paraId="3283F5BC">
            <w:pPr>
              <w:wordWrap/>
              <w:spacing w:line="360" w:lineRule="exact"/>
              <w:jc w:val="center"/>
              <w:rPr>
                <w:rFonts w:hint="default" w:ascii="Palatino Linotype" w:hAnsi="Palatino Linotype" w:eastAsia="宋体" w:cs="Palatino Linotype"/>
                <w:b w:val="0"/>
                <w:i w:val="0"/>
                <w:sz w:val="21"/>
                <w:szCs w:val="22"/>
              </w:rPr>
            </w:pPr>
            <w:r>
              <w:rPr>
                <w:rFonts w:hint="default" w:ascii="Palatino Linotype" w:hAnsi="Palatino Linotype" w:eastAsia="宋体" w:cs="Palatino Linotype"/>
                <w:b w:val="0"/>
                <w:i w:val="0"/>
                <w:sz w:val="21"/>
                <w:szCs w:val="22"/>
              </w:rPr>
              <w:t>1</w:t>
            </w:r>
          </w:p>
        </w:tc>
        <w:tc>
          <w:tcPr>
            <w:tcW w:w="1032" w:type="dxa"/>
            <w:tcBorders>
              <w:top w:val="single" w:color="auto" w:sz="12" w:space="0"/>
              <w:bottom w:val="single" w:color="auto" w:sz="6" w:space="0"/>
              <w:right w:val="nil"/>
              <w:insideH w:val="single" w:sz="6" w:space="0"/>
              <w:insideV w:val="nil"/>
              <w:tl2br w:val="nil"/>
              <w:tr2bl w:val="nil"/>
            </w:tcBorders>
          </w:tcPr>
          <w:p w14:paraId="7E740D82">
            <w:pPr>
              <w:wordWrap/>
              <w:spacing w:line="360" w:lineRule="exact"/>
              <w:jc w:val="center"/>
              <w:rPr>
                <w:rFonts w:hint="default" w:ascii="Palatino Linotype" w:hAnsi="Palatino Linotype" w:eastAsia="宋体" w:cs="Palatino Linotype"/>
                <w:b w:val="0"/>
                <w:i w:val="0"/>
                <w:sz w:val="21"/>
                <w:szCs w:val="22"/>
              </w:rPr>
            </w:pPr>
            <w:r>
              <w:rPr>
                <w:rFonts w:hint="default" w:ascii="Palatino Linotype" w:hAnsi="Palatino Linotype" w:eastAsia="宋体" w:cs="Palatino Linotype"/>
                <w:b w:val="0"/>
                <w:i w:val="0"/>
                <w:sz w:val="21"/>
                <w:szCs w:val="22"/>
              </w:rPr>
              <w:t>2</w:t>
            </w:r>
          </w:p>
        </w:tc>
        <w:tc>
          <w:tcPr>
            <w:tcW w:w="1032" w:type="dxa"/>
            <w:tcBorders>
              <w:top w:val="single" w:color="auto" w:sz="12" w:space="0"/>
              <w:bottom w:val="single" w:color="auto" w:sz="6" w:space="0"/>
              <w:right w:val="nil"/>
              <w:insideH w:val="single" w:sz="6" w:space="0"/>
              <w:insideV w:val="nil"/>
              <w:tl2br w:val="nil"/>
              <w:tr2bl w:val="nil"/>
            </w:tcBorders>
          </w:tcPr>
          <w:p w14:paraId="10BF89CB">
            <w:pPr>
              <w:wordWrap/>
              <w:spacing w:line="360" w:lineRule="exact"/>
              <w:jc w:val="center"/>
              <w:rPr>
                <w:rFonts w:hint="default" w:ascii="Palatino Linotype" w:hAnsi="Palatino Linotype" w:eastAsia="宋体" w:cs="Palatino Linotype"/>
                <w:b w:val="0"/>
                <w:i w:val="0"/>
                <w:sz w:val="21"/>
                <w:szCs w:val="22"/>
              </w:rPr>
            </w:pPr>
            <w:r>
              <w:rPr>
                <w:rFonts w:hint="default" w:ascii="Palatino Linotype" w:hAnsi="Palatino Linotype" w:eastAsia="宋体" w:cs="Palatino Linotype"/>
                <w:b w:val="0"/>
                <w:i w:val="0"/>
                <w:sz w:val="21"/>
                <w:szCs w:val="22"/>
              </w:rPr>
              <w:t>3</w:t>
            </w:r>
          </w:p>
        </w:tc>
        <w:tc>
          <w:tcPr>
            <w:tcW w:w="1031" w:type="dxa"/>
            <w:tcBorders>
              <w:top w:val="single" w:color="auto" w:sz="12" w:space="0"/>
              <w:bottom w:val="single" w:color="auto" w:sz="6" w:space="0"/>
              <w:right w:val="nil"/>
              <w:insideH w:val="single" w:sz="6" w:space="0"/>
              <w:insideV w:val="nil"/>
              <w:tl2br w:val="nil"/>
              <w:tr2bl w:val="nil"/>
            </w:tcBorders>
          </w:tcPr>
          <w:p w14:paraId="3BFB576B">
            <w:pPr>
              <w:wordWrap/>
              <w:spacing w:line="360" w:lineRule="exact"/>
              <w:jc w:val="center"/>
              <w:rPr>
                <w:rFonts w:hint="default" w:ascii="Palatino Linotype" w:hAnsi="Palatino Linotype" w:eastAsia="宋体" w:cs="Palatino Linotype"/>
                <w:b w:val="0"/>
                <w:i w:val="0"/>
                <w:sz w:val="21"/>
                <w:szCs w:val="22"/>
              </w:rPr>
            </w:pPr>
            <w:r>
              <w:rPr>
                <w:rFonts w:hint="default" w:ascii="Palatino Linotype" w:hAnsi="Palatino Linotype" w:eastAsia="宋体" w:cs="Palatino Linotype"/>
                <w:b w:val="0"/>
                <w:i w:val="0"/>
                <w:sz w:val="21"/>
                <w:szCs w:val="22"/>
              </w:rPr>
              <w:t>4</w:t>
            </w:r>
          </w:p>
        </w:tc>
      </w:tr>
      <w:tr w14:paraId="1B9EC89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96" w:type="dxa"/>
          </w:tcPr>
          <w:p w14:paraId="4CAAFD19">
            <w:pPr>
              <w:jc w:val="center"/>
              <w:rPr>
                <w:rFonts w:hint="default" w:ascii="Palatino Linotype" w:hAnsi="Palatino Linotype" w:eastAsia="Times New Roman" w:cs="Palatino Linotype"/>
                <w:szCs w:val="22"/>
              </w:rPr>
            </w:pPr>
            <w:r>
              <w:rPr>
                <w:rFonts w:hint="default" w:ascii="Palatino Linotype" w:hAnsi="Palatino Linotype" w:eastAsia="宋体" w:cs="Palatino Linotype"/>
                <w:sz w:val="18"/>
                <w:szCs w:val="18"/>
              </w:rPr>
              <w:t xml:space="preserve">1 </w:t>
            </w:r>
            <w:r>
              <w:rPr>
                <w:rFonts w:hint="default" w:ascii="Palatino Linotype" w:hAnsi="Palatino Linotype" w:eastAsia="宋体" w:cs="Palatino Linotype"/>
                <w:sz w:val="18"/>
                <w:szCs w:val="18"/>
                <w:lang w:val="en-US" w:eastAsia="zh-CN"/>
              </w:rPr>
              <w:t>Mindfulness</w:t>
            </w:r>
          </w:p>
        </w:tc>
        <w:tc>
          <w:tcPr>
            <w:tcW w:w="712" w:type="dxa"/>
          </w:tcPr>
          <w:p w14:paraId="08C88E4C">
            <w:pPr>
              <w:jc w:val="center"/>
              <w:rPr>
                <w:rFonts w:hint="default" w:ascii="Palatino Linotype" w:hAnsi="Palatino Linotype" w:eastAsia="等线" w:cs="Palatino Linotype"/>
                <w:color w:val="auto"/>
                <w:szCs w:val="22"/>
                <w:lang w:val="en-US" w:eastAsia="zh-CN"/>
              </w:rPr>
            </w:pPr>
            <w:r>
              <w:rPr>
                <w:rFonts w:hint="default" w:ascii="Palatino Linotype" w:hAnsi="Palatino Linotype" w:eastAsia="等线" w:cs="Palatino Linotype"/>
                <w:color w:val="auto"/>
                <w:sz w:val="18"/>
                <w:szCs w:val="18"/>
              </w:rPr>
              <w:t>66.</w:t>
            </w:r>
            <w:r>
              <w:rPr>
                <w:rFonts w:hint="default" w:ascii="Palatino Linotype" w:hAnsi="Palatino Linotype" w:eastAsia="等线" w:cs="Palatino Linotype"/>
                <w:color w:val="auto"/>
                <w:sz w:val="18"/>
                <w:szCs w:val="18"/>
                <w:lang w:val="en-US" w:eastAsia="zh-CN"/>
              </w:rPr>
              <w:t>884</w:t>
            </w:r>
          </w:p>
        </w:tc>
        <w:tc>
          <w:tcPr>
            <w:tcW w:w="1031" w:type="dxa"/>
          </w:tcPr>
          <w:p w14:paraId="688A797F">
            <w:pPr>
              <w:jc w:val="center"/>
              <w:rPr>
                <w:rFonts w:hint="default" w:ascii="Palatino Linotype" w:hAnsi="Palatino Linotype" w:eastAsia="等线" w:cs="Palatino Linotype"/>
                <w:color w:val="auto"/>
                <w:szCs w:val="22"/>
                <w:lang w:val="en-US" w:eastAsia="zh-CN"/>
              </w:rPr>
            </w:pPr>
            <w:r>
              <w:rPr>
                <w:rFonts w:hint="default" w:ascii="Palatino Linotype" w:hAnsi="Palatino Linotype" w:eastAsia="等线" w:cs="Palatino Linotype"/>
                <w:color w:val="auto"/>
                <w:sz w:val="18"/>
                <w:szCs w:val="18"/>
              </w:rPr>
              <w:t>12.4</w:t>
            </w:r>
            <w:r>
              <w:rPr>
                <w:rFonts w:hint="default" w:ascii="Palatino Linotype" w:hAnsi="Palatino Linotype" w:eastAsia="等线" w:cs="Palatino Linotype"/>
                <w:color w:val="auto"/>
                <w:sz w:val="18"/>
                <w:szCs w:val="18"/>
                <w:lang w:val="en-US" w:eastAsia="zh-CN"/>
              </w:rPr>
              <w:t>38</w:t>
            </w:r>
          </w:p>
        </w:tc>
        <w:tc>
          <w:tcPr>
            <w:tcW w:w="1032" w:type="dxa"/>
          </w:tcPr>
          <w:p w14:paraId="68BD0576">
            <w:pPr>
              <w:jc w:val="center"/>
              <w:rPr>
                <w:rFonts w:hint="default" w:ascii="Palatino Linotype" w:hAnsi="Palatino Linotype" w:eastAsia="Times New Roman" w:cs="Palatino Linotype"/>
                <w:szCs w:val="22"/>
              </w:rPr>
            </w:pPr>
            <w:r>
              <w:rPr>
                <w:rFonts w:hint="default" w:ascii="Palatino Linotype" w:hAnsi="Palatino Linotype" w:eastAsia="等线" w:cs="Palatino Linotype"/>
                <w:color w:val="000000"/>
                <w:sz w:val="18"/>
                <w:szCs w:val="18"/>
              </w:rPr>
              <w:t>1</w:t>
            </w:r>
          </w:p>
        </w:tc>
        <w:tc>
          <w:tcPr>
            <w:tcW w:w="1032" w:type="dxa"/>
          </w:tcPr>
          <w:p w14:paraId="5FF8512F">
            <w:pPr>
              <w:jc w:val="center"/>
              <w:rPr>
                <w:rFonts w:hint="default" w:ascii="Palatino Linotype" w:hAnsi="Palatino Linotype" w:eastAsia="Times New Roman" w:cs="Palatino Linotype"/>
                <w:szCs w:val="22"/>
              </w:rPr>
            </w:pPr>
          </w:p>
        </w:tc>
        <w:tc>
          <w:tcPr>
            <w:tcW w:w="1032" w:type="dxa"/>
          </w:tcPr>
          <w:p w14:paraId="1973F59E">
            <w:pPr>
              <w:jc w:val="center"/>
              <w:rPr>
                <w:rFonts w:hint="default" w:ascii="Palatino Linotype" w:hAnsi="Palatino Linotype" w:eastAsia="Times New Roman" w:cs="Palatino Linotype"/>
                <w:szCs w:val="22"/>
              </w:rPr>
            </w:pPr>
          </w:p>
        </w:tc>
        <w:tc>
          <w:tcPr>
            <w:tcW w:w="1031" w:type="dxa"/>
          </w:tcPr>
          <w:p w14:paraId="5AB0F7D0">
            <w:pPr>
              <w:jc w:val="center"/>
              <w:rPr>
                <w:rFonts w:hint="default" w:ascii="Palatino Linotype" w:hAnsi="Palatino Linotype" w:eastAsia="Times New Roman" w:cs="Palatino Linotype"/>
                <w:szCs w:val="22"/>
              </w:rPr>
            </w:pPr>
          </w:p>
        </w:tc>
      </w:tr>
      <w:tr w14:paraId="01C6DF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96" w:type="dxa"/>
          </w:tcPr>
          <w:p w14:paraId="612E4912">
            <w:pPr>
              <w:jc w:val="center"/>
              <w:rPr>
                <w:rFonts w:hint="default" w:ascii="Palatino Linotype" w:hAnsi="Palatino Linotype" w:eastAsia="宋体" w:cs="Palatino Linotype"/>
                <w:sz w:val="18"/>
                <w:szCs w:val="18"/>
              </w:rPr>
            </w:pPr>
            <w:r>
              <w:rPr>
                <w:rFonts w:hint="default" w:ascii="Palatino Linotype" w:hAnsi="Palatino Linotype" w:eastAsia="宋体" w:cs="Palatino Linotype"/>
                <w:color w:val="000000"/>
                <w:kern w:val="0"/>
                <w:sz w:val="18"/>
                <w:szCs w:val="18"/>
              </w:rPr>
              <w:t>2</w:t>
            </w:r>
            <w:r>
              <w:rPr>
                <w:rFonts w:hint="default" w:ascii="Palatino Linotype" w:hAnsi="Palatino Linotype" w:eastAsia="宋体" w:cs="Palatino Linotype"/>
                <w:color w:val="000000"/>
                <w:kern w:val="0"/>
                <w:sz w:val="18"/>
                <w:szCs w:val="18"/>
                <w:lang w:val="en-US" w:eastAsia="zh-CN"/>
              </w:rPr>
              <w:t xml:space="preserve"> POS</w:t>
            </w:r>
          </w:p>
        </w:tc>
        <w:tc>
          <w:tcPr>
            <w:tcW w:w="712" w:type="dxa"/>
          </w:tcPr>
          <w:p w14:paraId="5C8DF991">
            <w:pPr>
              <w:jc w:val="center"/>
              <w:rPr>
                <w:rFonts w:hint="default" w:ascii="Palatino Linotype" w:hAnsi="Palatino Linotype" w:eastAsia="等线" w:cs="Palatino Linotype"/>
                <w:color w:val="auto"/>
                <w:sz w:val="18"/>
                <w:szCs w:val="18"/>
                <w:lang w:val="en-US" w:eastAsia="zh-CN"/>
              </w:rPr>
            </w:pPr>
            <w:r>
              <w:rPr>
                <w:rFonts w:hint="default" w:ascii="Palatino Linotype" w:hAnsi="Palatino Linotype" w:eastAsia="等线" w:cs="Palatino Linotype"/>
                <w:color w:val="auto"/>
                <w:sz w:val="18"/>
                <w:szCs w:val="18"/>
              </w:rPr>
              <w:t>2</w:t>
            </w:r>
            <w:r>
              <w:rPr>
                <w:rFonts w:hint="default" w:ascii="Palatino Linotype" w:hAnsi="Palatino Linotype" w:eastAsia="等线" w:cs="Palatino Linotype"/>
                <w:color w:val="auto"/>
                <w:sz w:val="18"/>
                <w:szCs w:val="18"/>
                <w:lang w:val="en-US" w:eastAsia="zh-CN"/>
              </w:rPr>
              <w:t>7</w:t>
            </w:r>
            <w:r>
              <w:rPr>
                <w:rFonts w:hint="default" w:ascii="Palatino Linotype" w:hAnsi="Palatino Linotype" w:eastAsia="等线" w:cs="Palatino Linotype"/>
                <w:color w:val="auto"/>
                <w:sz w:val="18"/>
                <w:szCs w:val="18"/>
              </w:rPr>
              <w:t>.</w:t>
            </w:r>
            <w:r>
              <w:rPr>
                <w:rFonts w:hint="default" w:ascii="Palatino Linotype" w:hAnsi="Palatino Linotype" w:eastAsia="等线" w:cs="Palatino Linotype"/>
                <w:color w:val="auto"/>
                <w:sz w:val="18"/>
                <w:szCs w:val="18"/>
                <w:lang w:val="en-US" w:eastAsia="zh-CN"/>
              </w:rPr>
              <w:t>923</w:t>
            </w:r>
          </w:p>
        </w:tc>
        <w:tc>
          <w:tcPr>
            <w:tcW w:w="1031" w:type="dxa"/>
          </w:tcPr>
          <w:p w14:paraId="2340317A">
            <w:pPr>
              <w:jc w:val="center"/>
              <w:rPr>
                <w:rFonts w:hint="default" w:ascii="Palatino Linotype" w:hAnsi="Palatino Linotype" w:eastAsia="等线" w:cs="Palatino Linotype"/>
                <w:color w:val="auto"/>
                <w:sz w:val="18"/>
                <w:szCs w:val="18"/>
                <w:lang w:val="en-US" w:eastAsia="zh-CN"/>
              </w:rPr>
            </w:pPr>
            <w:r>
              <w:rPr>
                <w:rFonts w:hint="default" w:ascii="Palatino Linotype" w:hAnsi="Palatino Linotype" w:eastAsia="等线" w:cs="Palatino Linotype"/>
                <w:color w:val="auto"/>
                <w:sz w:val="18"/>
                <w:szCs w:val="18"/>
              </w:rPr>
              <w:t>5.</w:t>
            </w:r>
            <w:r>
              <w:rPr>
                <w:rFonts w:hint="default" w:ascii="Palatino Linotype" w:hAnsi="Palatino Linotype" w:eastAsia="等线" w:cs="Palatino Linotype"/>
                <w:color w:val="auto"/>
                <w:sz w:val="18"/>
                <w:szCs w:val="18"/>
                <w:lang w:val="en-US" w:eastAsia="zh-CN"/>
              </w:rPr>
              <w:t>375</w:t>
            </w:r>
          </w:p>
        </w:tc>
        <w:tc>
          <w:tcPr>
            <w:tcW w:w="1032" w:type="dxa"/>
          </w:tcPr>
          <w:p w14:paraId="4F8DE30E">
            <w:pPr>
              <w:jc w:val="center"/>
              <w:rPr>
                <w:rFonts w:hint="default" w:ascii="Palatino Linotype" w:hAnsi="Palatino Linotype" w:eastAsia="等线" w:cs="Palatino Linotype"/>
                <w:color w:val="000000"/>
                <w:sz w:val="18"/>
                <w:szCs w:val="18"/>
              </w:rPr>
            </w:pPr>
            <w:r>
              <w:rPr>
                <w:rFonts w:hint="default" w:ascii="Palatino Linotype" w:hAnsi="Palatino Linotype" w:eastAsia="等线" w:cs="Palatino Linotype"/>
                <w:color w:val="000000"/>
                <w:sz w:val="18"/>
                <w:szCs w:val="18"/>
                <w:lang w:val="en-US" w:eastAsia="zh-CN"/>
              </w:rPr>
              <w:t>0</w:t>
            </w:r>
            <w:r>
              <w:rPr>
                <w:rFonts w:hint="default" w:ascii="Palatino Linotype" w:hAnsi="Palatino Linotype" w:eastAsia="等线" w:cs="Palatino Linotype"/>
                <w:color w:val="000000"/>
                <w:sz w:val="18"/>
                <w:szCs w:val="18"/>
              </w:rPr>
              <w:t>.3</w:t>
            </w:r>
            <w:r>
              <w:rPr>
                <w:rFonts w:hint="default" w:ascii="Palatino Linotype" w:hAnsi="Palatino Linotype" w:eastAsia="等线" w:cs="Palatino Linotype"/>
                <w:color w:val="000000"/>
                <w:sz w:val="18"/>
                <w:szCs w:val="18"/>
                <w:lang w:val="en-US" w:eastAsia="zh-CN"/>
              </w:rPr>
              <w:t>22</w:t>
            </w:r>
            <w:r>
              <w:rPr>
                <w:rFonts w:hint="default" w:ascii="Palatino Linotype" w:hAnsi="Palatino Linotype" w:eastAsia="等线" w:cs="Palatino Linotype"/>
                <w:color w:val="000000"/>
                <w:sz w:val="18"/>
                <w:szCs w:val="18"/>
              </w:rPr>
              <w:t>**</w:t>
            </w:r>
          </w:p>
        </w:tc>
        <w:tc>
          <w:tcPr>
            <w:tcW w:w="1032" w:type="dxa"/>
          </w:tcPr>
          <w:p w14:paraId="42A5D5DC">
            <w:pPr>
              <w:jc w:val="center"/>
              <w:rPr>
                <w:rFonts w:hint="default" w:ascii="Palatino Linotype" w:hAnsi="Palatino Linotype" w:eastAsia="Times New Roman" w:cs="Palatino Linotype"/>
                <w:szCs w:val="22"/>
              </w:rPr>
            </w:pPr>
            <w:r>
              <w:rPr>
                <w:rFonts w:hint="default" w:ascii="Palatino Linotype" w:hAnsi="Palatino Linotype" w:eastAsia="等线" w:cs="Palatino Linotype"/>
                <w:color w:val="000000"/>
                <w:sz w:val="18"/>
                <w:szCs w:val="18"/>
              </w:rPr>
              <w:t>1</w:t>
            </w:r>
          </w:p>
        </w:tc>
        <w:tc>
          <w:tcPr>
            <w:tcW w:w="1032" w:type="dxa"/>
          </w:tcPr>
          <w:p w14:paraId="6C4F943C">
            <w:pPr>
              <w:jc w:val="center"/>
              <w:rPr>
                <w:rFonts w:hint="default" w:ascii="Palatino Linotype" w:hAnsi="Palatino Linotype" w:eastAsia="Times New Roman" w:cs="Palatino Linotype"/>
                <w:szCs w:val="22"/>
              </w:rPr>
            </w:pPr>
          </w:p>
        </w:tc>
        <w:tc>
          <w:tcPr>
            <w:tcW w:w="1031" w:type="dxa"/>
          </w:tcPr>
          <w:p w14:paraId="65CFAF74">
            <w:pPr>
              <w:jc w:val="center"/>
              <w:rPr>
                <w:rFonts w:hint="default" w:ascii="Palatino Linotype" w:hAnsi="Palatino Linotype" w:eastAsia="Times New Roman" w:cs="Palatino Linotype"/>
                <w:szCs w:val="22"/>
              </w:rPr>
            </w:pPr>
          </w:p>
        </w:tc>
      </w:tr>
      <w:tr w14:paraId="4DEB83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96" w:type="dxa"/>
          </w:tcPr>
          <w:p w14:paraId="03E2D9CD">
            <w:pPr>
              <w:jc w:val="center"/>
              <w:rPr>
                <w:rFonts w:hint="default" w:ascii="Palatino Linotype" w:hAnsi="Palatino Linotype" w:eastAsia="宋体" w:cs="Palatino Linotype"/>
                <w:color w:val="000000"/>
                <w:kern w:val="0"/>
                <w:sz w:val="18"/>
                <w:szCs w:val="18"/>
              </w:rPr>
            </w:pPr>
            <w:r>
              <w:rPr>
                <w:rFonts w:hint="default" w:ascii="Palatino Linotype" w:hAnsi="Palatino Linotype" w:eastAsia="宋体" w:cs="Palatino Linotype"/>
                <w:color w:val="000000"/>
                <w:kern w:val="0"/>
                <w:sz w:val="18"/>
                <w:szCs w:val="18"/>
              </w:rPr>
              <w:t>3</w:t>
            </w:r>
            <w:r>
              <w:rPr>
                <w:rFonts w:hint="default" w:ascii="Palatino Linotype" w:hAnsi="Palatino Linotype" w:eastAsia="宋体" w:cs="Palatino Linotype"/>
                <w:color w:val="000000"/>
                <w:kern w:val="0"/>
                <w:sz w:val="18"/>
                <w:szCs w:val="18"/>
                <w:lang w:val="en-US" w:eastAsia="zh-CN"/>
              </w:rPr>
              <w:t xml:space="preserve"> PS</w:t>
            </w:r>
          </w:p>
        </w:tc>
        <w:tc>
          <w:tcPr>
            <w:tcW w:w="712" w:type="dxa"/>
          </w:tcPr>
          <w:p w14:paraId="54137491">
            <w:pPr>
              <w:jc w:val="center"/>
              <w:rPr>
                <w:rFonts w:hint="default" w:ascii="Palatino Linotype" w:hAnsi="Palatino Linotype" w:eastAsia="等线" w:cs="Palatino Linotype"/>
                <w:color w:val="auto"/>
                <w:sz w:val="18"/>
                <w:szCs w:val="18"/>
                <w:lang w:eastAsia="zh-CN"/>
              </w:rPr>
            </w:pPr>
            <w:r>
              <w:rPr>
                <w:rFonts w:hint="default" w:ascii="Palatino Linotype" w:hAnsi="Palatino Linotype" w:eastAsia="等线" w:cs="Palatino Linotype"/>
                <w:color w:val="auto"/>
                <w:sz w:val="18"/>
                <w:szCs w:val="18"/>
              </w:rPr>
              <w:t>24.7</w:t>
            </w:r>
            <w:r>
              <w:rPr>
                <w:rFonts w:hint="default" w:ascii="Palatino Linotype" w:hAnsi="Palatino Linotype" w:eastAsia="等线" w:cs="Palatino Linotype"/>
                <w:color w:val="auto"/>
                <w:sz w:val="18"/>
                <w:szCs w:val="18"/>
                <w:lang w:val="en-US" w:eastAsia="zh-CN"/>
              </w:rPr>
              <w:t>18</w:t>
            </w:r>
          </w:p>
        </w:tc>
        <w:tc>
          <w:tcPr>
            <w:tcW w:w="1031" w:type="dxa"/>
          </w:tcPr>
          <w:p w14:paraId="105AC6E0">
            <w:pPr>
              <w:jc w:val="center"/>
              <w:rPr>
                <w:rFonts w:hint="default" w:ascii="Palatino Linotype" w:hAnsi="Palatino Linotype" w:eastAsia="等线" w:cs="Palatino Linotype"/>
                <w:color w:val="auto"/>
                <w:sz w:val="18"/>
                <w:szCs w:val="18"/>
                <w:lang w:val="en-US" w:eastAsia="zh-CN"/>
              </w:rPr>
            </w:pPr>
            <w:r>
              <w:rPr>
                <w:rFonts w:hint="default" w:ascii="Palatino Linotype" w:hAnsi="Palatino Linotype" w:eastAsia="等线" w:cs="Palatino Linotype"/>
                <w:color w:val="auto"/>
                <w:sz w:val="18"/>
                <w:szCs w:val="18"/>
              </w:rPr>
              <w:t>5.</w:t>
            </w:r>
            <w:r>
              <w:rPr>
                <w:rFonts w:hint="default" w:ascii="Palatino Linotype" w:hAnsi="Palatino Linotype" w:eastAsia="等线" w:cs="Palatino Linotype"/>
                <w:color w:val="auto"/>
                <w:sz w:val="18"/>
                <w:szCs w:val="18"/>
                <w:lang w:val="en-US" w:eastAsia="zh-CN"/>
              </w:rPr>
              <w:t>549</w:t>
            </w:r>
          </w:p>
        </w:tc>
        <w:tc>
          <w:tcPr>
            <w:tcW w:w="1032" w:type="dxa"/>
          </w:tcPr>
          <w:p w14:paraId="438DC53C">
            <w:pPr>
              <w:jc w:val="center"/>
              <w:rPr>
                <w:rFonts w:hint="default" w:ascii="Palatino Linotype" w:hAnsi="Palatino Linotype" w:eastAsia="等线" w:cs="Palatino Linotype"/>
                <w:color w:val="000000"/>
                <w:sz w:val="18"/>
                <w:szCs w:val="18"/>
              </w:rPr>
            </w:pPr>
            <w:r>
              <w:rPr>
                <w:rFonts w:hint="default" w:ascii="Palatino Linotype" w:hAnsi="Palatino Linotype" w:eastAsia="等线" w:cs="Palatino Linotype"/>
                <w:color w:val="000000"/>
                <w:sz w:val="18"/>
                <w:szCs w:val="18"/>
                <w:lang w:val="en-US" w:eastAsia="zh-CN"/>
              </w:rPr>
              <w:t>0</w:t>
            </w:r>
            <w:r>
              <w:rPr>
                <w:rFonts w:hint="default" w:ascii="Palatino Linotype" w:hAnsi="Palatino Linotype" w:eastAsia="等线" w:cs="Palatino Linotype"/>
                <w:color w:val="000000"/>
                <w:sz w:val="18"/>
                <w:szCs w:val="18"/>
              </w:rPr>
              <w:t>.2</w:t>
            </w:r>
            <w:r>
              <w:rPr>
                <w:rFonts w:hint="default" w:ascii="Palatino Linotype" w:hAnsi="Palatino Linotype" w:eastAsia="等线" w:cs="Palatino Linotype"/>
                <w:color w:val="000000"/>
                <w:sz w:val="18"/>
                <w:szCs w:val="18"/>
                <w:lang w:val="en-US" w:eastAsia="zh-CN"/>
              </w:rPr>
              <w:t>61</w:t>
            </w:r>
            <w:r>
              <w:rPr>
                <w:rFonts w:hint="default" w:ascii="Palatino Linotype" w:hAnsi="Palatino Linotype" w:eastAsia="等线" w:cs="Palatino Linotype"/>
                <w:color w:val="000000"/>
                <w:sz w:val="18"/>
                <w:szCs w:val="18"/>
              </w:rPr>
              <w:t>**</w:t>
            </w:r>
          </w:p>
        </w:tc>
        <w:tc>
          <w:tcPr>
            <w:tcW w:w="1032" w:type="dxa"/>
          </w:tcPr>
          <w:p w14:paraId="0C17EA81">
            <w:pPr>
              <w:jc w:val="center"/>
              <w:rPr>
                <w:rFonts w:hint="default" w:ascii="Palatino Linotype" w:hAnsi="Palatino Linotype" w:eastAsia="等线" w:cs="Palatino Linotype"/>
                <w:color w:val="000000"/>
                <w:sz w:val="18"/>
                <w:szCs w:val="18"/>
              </w:rPr>
            </w:pPr>
            <w:r>
              <w:rPr>
                <w:rFonts w:hint="default" w:ascii="Palatino Linotype" w:hAnsi="Palatino Linotype" w:eastAsia="等线" w:cs="Palatino Linotype"/>
                <w:color w:val="000000"/>
                <w:sz w:val="18"/>
                <w:szCs w:val="18"/>
                <w:lang w:val="en-US" w:eastAsia="zh-CN"/>
              </w:rPr>
              <w:t>0</w:t>
            </w:r>
            <w:r>
              <w:rPr>
                <w:rFonts w:hint="default" w:ascii="Palatino Linotype" w:hAnsi="Palatino Linotype" w:eastAsia="等线" w:cs="Palatino Linotype"/>
                <w:color w:val="000000"/>
                <w:sz w:val="18"/>
                <w:szCs w:val="18"/>
              </w:rPr>
              <w:t>.5</w:t>
            </w:r>
            <w:r>
              <w:rPr>
                <w:rFonts w:hint="default" w:ascii="Palatino Linotype" w:hAnsi="Palatino Linotype" w:eastAsia="等线" w:cs="Palatino Linotype"/>
                <w:color w:val="000000"/>
                <w:sz w:val="18"/>
                <w:szCs w:val="18"/>
                <w:lang w:val="en-US" w:eastAsia="zh-CN"/>
              </w:rPr>
              <w:t>11</w:t>
            </w:r>
            <w:r>
              <w:rPr>
                <w:rFonts w:hint="default" w:ascii="Palatino Linotype" w:hAnsi="Palatino Linotype" w:eastAsia="等线" w:cs="Palatino Linotype"/>
                <w:color w:val="000000"/>
                <w:sz w:val="18"/>
                <w:szCs w:val="18"/>
              </w:rPr>
              <w:t>**</w:t>
            </w:r>
          </w:p>
        </w:tc>
        <w:tc>
          <w:tcPr>
            <w:tcW w:w="1032" w:type="dxa"/>
          </w:tcPr>
          <w:p w14:paraId="729F9A23">
            <w:pPr>
              <w:jc w:val="center"/>
              <w:rPr>
                <w:rFonts w:hint="default" w:ascii="Palatino Linotype" w:hAnsi="Palatino Linotype" w:eastAsia="Times New Roman" w:cs="Palatino Linotype"/>
                <w:szCs w:val="22"/>
              </w:rPr>
            </w:pPr>
            <w:r>
              <w:rPr>
                <w:rFonts w:hint="default" w:ascii="Palatino Linotype" w:hAnsi="Palatino Linotype" w:eastAsia="等线" w:cs="Palatino Linotype"/>
                <w:color w:val="000000"/>
                <w:sz w:val="18"/>
                <w:szCs w:val="18"/>
              </w:rPr>
              <w:t>1</w:t>
            </w:r>
          </w:p>
        </w:tc>
        <w:tc>
          <w:tcPr>
            <w:tcW w:w="1031" w:type="dxa"/>
          </w:tcPr>
          <w:p w14:paraId="3F166DF0">
            <w:pPr>
              <w:jc w:val="center"/>
              <w:rPr>
                <w:rFonts w:hint="default" w:ascii="Palatino Linotype" w:hAnsi="Palatino Linotype" w:eastAsia="Times New Roman" w:cs="Palatino Linotype"/>
                <w:szCs w:val="22"/>
              </w:rPr>
            </w:pPr>
          </w:p>
        </w:tc>
      </w:tr>
      <w:tr w14:paraId="34A389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96" w:type="dxa"/>
          </w:tcPr>
          <w:p w14:paraId="3BA374DA">
            <w:pPr>
              <w:jc w:val="center"/>
              <w:rPr>
                <w:rFonts w:hint="default" w:ascii="Palatino Linotype" w:hAnsi="Palatino Linotype" w:eastAsia="宋体" w:cs="Palatino Linotype"/>
                <w:color w:val="000000"/>
                <w:kern w:val="0"/>
                <w:sz w:val="18"/>
                <w:szCs w:val="18"/>
              </w:rPr>
            </w:pPr>
            <w:r>
              <w:rPr>
                <w:rFonts w:hint="default" w:ascii="Palatino Linotype" w:hAnsi="Palatino Linotype" w:eastAsia="宋体" w:cs="Palatino Linotype"/>
                <w:color w:val="000000"/>
                <w:kern w:val="0"/>
                <w:sz w:val="18"/>
                <w:szCs w:val="18"/>
              </w:rPr>
              <w:t xml:space="preserve">4 </w:t>
            </w:r>
            <w:r>
              <w:rPr>
                <w:rFonts w:hint="default" w:ascii="Palatino Linotype" w:hAnsi="Palatino Linotype" w:eastAsia="宋体" w:cs="Palatino Linotype"/>
                <w:color w:val="000000"/>
                <w:kern w:val="0"/>
                <w:sz w:val="18"/>
                <w:szCs w:val="18"/>
                <w:lang w:val="en-US" w:eastAsia="zh-CN"/>
              </w:rPr>
              <w:t>Burnout</w:t>
            </w:r>
          </w:p>
        </w:tc>
        <w:tc>
          <w:tcPr>
            <w:tcW w:w="712" w:type="dxa"/>
          </w:tcPr>
          <w:p w14:paraId="1151B679">
            <w:pPr>
              <w:jc w:val="center"/>
              <w:rPr>
                <w:rFonts w:hint="default" w:ascii="Palatino Linotype" w:hAnsi="Palatino Linotype" w:eastAsia="等线" w:cs="Palatino Linotype"/>
                <w:color w:val="auto"/>
                <w:sz w:val="18"/>
                <w:szCs w:val="18"/>
              </w:rPr>
            </w:pPr>
            <w:r>
              <w:rPr>
                <w:rFonts w:hint="default" w:ascii="Palatino Linotype" w:hAnsi="Palatino Linotype" w:eastAsia="等线" w:cs="Palatino Linotype"/>
                <w:color w:val="auto"/>
                <w:sz w:val="18"/>
                <w:szCs w:val="18"/>
              </w:rPr>
              <w:t>5</w:t>
            </w:r>
            <w:r>
              <w:rPr>
                <w:rFonts w:hint="default" w:ascii="Palatino Linotype" w:hAnsi="Palatino Linotype" w:eastAsia="等线" w:cs="Palatino Linotype"/>
                <w:color w:val="auto"/>
                <w:sz w:val="18"/>
                <w:szCs w:val="18"/>
                <w:lang w:val="en-US" w:eastAsia="zh-CN"/>
              </w:rPr>
              <w:t>5</w:t>
            </w:r>
            <w:r>
              <w:rPr>
                <w:rFonts w:hint="default" w:ascii="Palatino Linotype" w:hAnsi="Palatino Linotype" w:eastAsia="等线" w:cs="Palatino Linotype"/>
                <w:color w:val="auto"/>
                <w:sz w:val="18"/>
                <w:szCs w:val="18"/>
              </w:rPr>
              <w:t>.</w:t>
            </w:r>
            <w:r>
              <w:rPr>
                <w:rFonts w:hint="default" w:ascii="Palatino Linotype" w:hAnsi="Palatino Linotype" w:eastAsia="等线" w:cs="Palatino Linotype"/>
                <w:color w:val="auto"/>
                <w:sz w:val="18"/>
                <w:szCs w:val="18"/>
                <w:lang w:val="en-US" w:eastAsia="zh-CN"/>
              </w:rPr>
              <w:t>11</w:t>
            </w:r>
            <w:r>
              <w:rPr>
                <w:rFonts w:hint="default" w:ascii="Palatino Linotype" w:hAnsi="Palatino Linotype" w:eastAsia="等线" w:cs="Palatino Linotype"/>
                <w:color w:val="auto"/>
                <w:sz w:val="18"/>
                <w:szCs w:val="18"/>
              </w:rPr>
              <w:t>0</w:t>
            </w:r>
          </w:p>
        </w:tc>
        <w:tc>
          <w:tcPr>
            <w:tcW w:w="1031" w:type="dxa"/>
          </w:tcPr>
          <w:p w14:paraId="114787B7">
            <w:pPr>
              <w:jc w:val="center"/>
              <w:rPr>
                <w:rFonts w:hint="default" w:ascii="Palatino Linotype" w:hAnsi="Palatino Linotype" w:eastAsia="等线" w:cs="Palatino Linotype"/>
                <w:color w:val="auto"/>
                <w:sz w:val="18"/>
                <w:szCs w:val="18"/>
                <w:lang w:val="en-US" w:eastAsia="zh-CN"/>
              </w:rPr>
            </w:pPr>
            <w:r>
              <w:rPr>
                <w:rFonts w:hint="default" w:ascii="Palatino Linotype" w:hAnsi="Palatino Linotype" w:eastAsia="等线" w:cs="Palatino Linotype"/>
                <w:color w:val="auto"/>
                <w:sz w:val="18"/>
                <w:szCs w:val="18"/>
              </w:rPr>
              <w:t>11.</w:t>
            </w:r>
            <w:r>
              <w:rPr>
                <w:rFonts w:hint="default" w:ascii="Palatino Linotype" w:hAnsi="Palatino Linotype" w:eastAsia="等线" w:cs="Palatino Linotype"/>
                <w:color w:val="auto"/>
                <w:sz w:val="18"/>
                <w:szCs w:val="18"/>
                <w:lang w:val="en-US" w:eastAsia="zh-CN"/>
              </w:rPr>
              <w:t>261</w:t>
            </w:r>
          </w:p>
        </w:tc>
        <w:tc>
          <w:tcPr>
            <w:tcW w:w="1032" w:type="dxa"/>
          </w:tcPr>
          <w:p w14:paraId="59209E38">
            <w:pPr>
              <w:jc w:val="center"/>
              <w:rPr>
                <w:rFonts w:hint="default" w:ascii="Palatino Linotype" w:hAnsi="Palatino Linotype" w:eastAsia="等线" w:cs="Palatino Linotype"/>
                <w:color w:val="000000"/>
                <w:sz w:val="18"/>
                <w:szCs w:val="18"/>
              </w:rPr>
            </w:pPr>
            <w:r>
              <w:rPr>
                <w:rFonts w:hint="default" w:ascii="Palatino Linotype" w:hAnsi="Palatino Linotype" w:eastAsia="等线" w:cs="Palatino Linotype"/>
                <w:color w:val="000000"/>
                <w:sz w:val="18"/>
                <w:szCs w:val="18"/>
              </w:rPr>
              <w:t>-</w:t>
            </w:r>
            <w:r>
              <w:rPr>
                <w:rFonts w:hint="default" w:ascii="Palatino Linotype" w:hAnsi="Palatino Linotype" w:eastAsia="等线" w:cs="Palatino Linotype"/>
                <w:color w:val="000000"/>
                <w:sz w:val="18"/>
                <w:szCs w:val="18"/>
                <w:lang w:val="en-US" w:eastAsia="zh-CN"/>
              </w:rPr>
              <w:t>0</w:t>
            </w:r>
            <w:r>
              <w:rPr>
                <w:rFonts w:hint="default" w:ascii="Palatino Linotype" w:hAnsi="Palatino Linotype" w:eastAsia="等线" w:cs="Palatino Linotype"/>
                <w:color w:val="000000"/>
                <w:sz w:val="18"/>
                <w:szCs w:val="18"/>
              </w:rPr>
              <w:t>.5</w:t>
            </w:r>
            <w:r>
              <w:rPr>
                <w:rFonts w:hint="default" w:ascii="Palatino Linotype" w:hAnsi="Palatino Linotype" w:eastAsia="等线" w:cs="Palatino Linotype"/>
                <w:color w:val="000000"/>
                <w:sz w:val="18"/>
                <w:szCs w:val="18"/>
                <w:lang w:val="en-US" w:eastAsia="zh-CN"/>
              </w:rPr>
              <w:t>34</w:t>
            </w:r>
            <w:r>
              <w:rPr>
                <w:rFonts w:hint="default" w:ascii="Palatino Linotype" w:hAnsi="Palatino Linotype" w:eastAsia="等线" w:cs="Palatino Linotype"/>
                <w:color w:val="000000"/>
                <w:sz w:val="18"/>
                <w:szCs w:val="18"/>
              </w:rPr>
              <w:t>**</w:t>
            </w:r>
          </w:p>
        </w:tc>
        <w:tc>
          <w:tcPr>
            <w:tcW w:w="1032" w:type="dxa"/>
          </w:tcPr>
          <w:p w14:paraId="0A71CD85">
            <w:pPr>
              <w:jc w:val="center"/>
              <w:rPr>
                <w:rFonts w:hint="default" w:ascii="Palatino Linotype" w:hAnsi="Palatino Linotype" w:eastAsia="等线" w:cs="Palatino Linotype"/>
                <w:color w:val="000000"/>
                <w:sz w:val="18"/>
                <w:szCs w:val="18"/>
              </w:rPr>
            </w:pPr>
            <w:r>
              <w:rPr>
                <w:rFonts w:hint="default" w:ascii="Palatino Linotype" w:hAnsi="Palatino Linotype" w:eastAsia="等线" w:cs="Palatino Linotype"/>
                <w:color w:val="000000"/>
                <w:sz w:val="18"/>
                <w:szCs w:val="18"/>
              </w:rPr>
              <w:t>-</w:t>
            </w:r>
            <w:r>
              <w:rPr>
                <w:rFonts w:hint="default" w:ascii="Palatino Linotype" w:hAnsi="Palatino Linotype" w:eastAsia="等线" w:cs="Palatino Linotype"/>
                <w:color w:val="000000"/>
                <w:sz w:val="18"/>
                <w:szCs w:val="18"/>
                <w:lang w:val="en-US" w:eastAsia="zh-CN"/>
              </w:rPr>
              <w:t>0</w:t>
            </w:r>
            <w:r>
              <w:rPr>
                <w:rFonts w:hint="default" w:ascii="Palatino Linotype" w:hAnsi="Palatino Linotype" w:eastAsia="等线" w:cs="Palatino Linotype"/>
                <w:color w:val="000000"/>
                <w:sz w:val="18"/>
                <w:szCs w:val="18"/>
              </w:rPr>
              <w:t>.6</w:t>
            </w:r>
            <w:r>
              <w:rPr>
                <w:rFonts w:hint="default" w:ascii="Palatino Linotype" w:hAnsi="Palatino Linotype" w:eastAsia="等线" w:cs="Palatino Linotype"/>
                <w:color w:val="000000"/>
                <w:sz w:val="18"/>
                <w:szCs w:val="18"/>
                <w:lang w:val="en-US" w:eastAsia="zh-CN"/>
              </w:rPr>
              <w:t>42</w:t>
            </w:r>
            <w:r>
              <w:rPr>
                <w:rFonts w:hint="default" w:ascii="Palatino Linotype" w:hAnsi="Palatino Linotype" w:eastAsia="等线" w:cs="Palatino Linotype"/>
                <w:color w:val="000000"/>
                <w:sz w:val="18"/>
                <w:szCs w:val="18"/>
              </w:rPr>
              <w:t>**</w:t>
            </w:r>
          </w:p>
        </w:tc>
        <w:tc>
          <w:tcPr>
            <w:tcW w:w="1032" w:type="dxa"/>
          </w:tcPr>
          <w:p w14:paraId="335E8F9A">
            <w:pPr>
              <w:jc w:val="center"/>
              <w:rPr>
                <w:rFonts w:hint="default" w:ascii="Palatino Linotype" w:hAnsi="Palatino Linotype" w:eastAsia="等线" w:cs="Palatino Linotype"/>
                <w:color w:val="000000"/>
                <w:sz w:val="18"/>
                <w:szCs w:val="18"/>
              </w:rPr>
            </w:pPr>
            <w:r>
              <w:rPr>
                <w:rFonts w:hint="default" w:ascii="Palatino Linotype" w:hAnsi="Palatino Linotype" w:eastAsia="等线" w:cs="Palatino Linotype"/>
                <w:color w:val="000000"/>
                <w:sz w:val="18"/>
                <w:szCs w:val="18"/>
              </w:rPr>
              <w:t>-</w:t>
            </w:r>
            <w:r>
              <w:rPr>
                <w:rFonts w:hint="default" w:ascii="Palatino Linotype" w:hAnsi="Palatino Linotype" w:eastAsia="等线" w:cs="Palatino Linotype"/>
                <w:color w:val="000000"/>
                <w:sz w:val="18"/>
                <w:szCs w:val="18"/>
                <w:lang w:val="en-US" w:eastAsia="zh-CN"/>
              </w:rPr>
              <w:t>0</w:t>
            </w:r>
            <w:r>
              <w:rPr>
                <w:rFonts w:hint="default" w:ascii="Palatino Linotype" w:hAnsi="Palatino Linotype" w:eastAsia="等线" w:cs="Palatino Linotype"/>
                <w:color w:val="000000"/>
                <w:sz w:val="18"/>
                <w:szCs w:val="18"/>
              </w:rPr>
              <w:t>.5</w:t>
            </w:r>
            <w:r>
              <w:rPr>
                <w:rFonts w:hint="default" w:ascii="Palatino Linotype" w:hAnsi="Palatino Linotype" w:eastAsia="等线" w:cs="Palatino Linotype"/>
                <w:color w:val="000000"/>
                <w:sz w:val="18"/>
                <w:szCs w:val="18"/>
                <w:lang w:val="en-US" w:eastAsia="zh-CN"/>
              </w:rPr>
              <w:t>12</w:t>
            </w:r>
            <w:r>
              <w:rPr>
                <w:rFonts w:hint="default" w:ascii="Palatino Linotype" w:hAnsi="Palatino Linotype" w:eastAsia="等线" w:cs="Palatino Linotype"/>
                <w:color w:val="000000"/>
                <w:sz w:val="18"/>
                <w:szCs w:val="18"/>
              </w:rPr>
              <w:t>**</w:t>
            </w:r>
          </w:p>
        </w:tc>
        <w:tc>
          <w:tcPr>
            <w:tcW w:w="1031" w:type="dxa"/>
          </w:tcPr>
          <w:p w14:paraId="1B9D890E">
            <w:pPr>
              <w:jc w:val="center"/>
              <w:rPr>
                <w:rFonts w:hint="default" w:ascii="Palatino Linotype" w:hAnsi="Palatino Linotype" w:eastAsia="Times New Roman" w:cs="Palatino Linotype"/>
                <w:szCs w:val="22"/>
              </w:rPr>
            </w:pPr>
            <w:r>
              <w:rPr>
                <w:rFonts w:hint="default" w:ascii="Palatino Linotype" w:hAnsi="Palatino Linotype" w:eastAsia="等线" w:cs="Palatino Linotype"/>
                <w:color w:val="000000"/>
                <w:sz w:val="18"/>
                <w:szCs w:val="18"/>
              </w:rPr>
              <w:t>1</w:t>
            </w:r>
          </w:p>
        </w:tc>
      </w:tr>
    </w:tbl>
    <w:p w14:paraId="2264BA29">
      <w:pPr>
        <w:adjustRightInd w:val="0"/>
        <w:spacing w:line="360" w:lineRule="auto"/>
        <w:ind w:left="360"/>
        <w:jc w:val="left"/>
        <w:rPr>
          <w:rFonts w:hint="default" w:ascii="Palatino Linotype" w:hAnsi="Palatino Linotype" w:eastAsia="宋体" w:cs="Palatino Linotype"/>
          <w:i/>
          <w:iCs/>
          <w:sz w:val="18"/>
          <w:szCs w:val="18"/>
        </w:rPr>
      </w:pPr>
      <w:r>
        <w:rPr>
          <w:rFonts w:hint="default" w:ascii="Palatino Linotype" w:hAnsi="Palatino Linotype" w:eastAsia="宋体" w:cs="Palatino Linotype"/>
          <w:i/>
          <w:iCs/>
          <w:sz w:val="18"/>
          <w:szCs w:val="18"/>
          <w:vertAlign w:val="superscript"/>
        </w:rPr>
        <w:t>*</w:t>
      </w:r>
      <w:r>
        <w:rPr>
          <w:rFonts w:hint="default" w:ascii="Palatino Linotype" w:hAnsi="Palatino Linotype" w:eastAsia="宋体" w:cs="Palatino Linotype"/>
          <w:i/>
          <w:iCs/>
          <w:sz w:val="18"/>
          <w:szCs w:val="18"/>
        </w:rPr>
        <w:t>P＜0.05；</w:t>
      </w:r>
      <w:r>
        <w:rPr>
          <w:rFonts w:hint="default" w:ascii="Palatino Linotype" w:hAnsi="Palatino Linotype" w:eastAsia="宋体" w:cs="Palatino Linotype"/>
          <w:i/>
          <w:iCs/>
          <w:sz w:val="18"/>
          <w:szCs w:val="18"/>
          <w:vertAlign w:val="superscript"/>
        </w:rPr>
        <w:t>**</w:t>
      </w:r>
      <w:r>
        <w:rPr>
          <w:rFonts w:hint="default" w:ascii="Palatino Linotype" w:hAnsi="Palatino Linotype" w:eastAsia="宋体" w:cs="Palatino Linotype"/>
          <w:i/>
          <w:iCs/>
          <w:sz w:val="18"/>
          <w:szCs w:val="18"/>
        </w:rPr>
        <w:t>P＜0.01；</w:t>
      </w:r>
      <w:r>
        <w:rPr>
          <w:rFonts w:hint="default" w:ascii="Palatino Linotype" w:hAnsi="Palatino Linotype" w:eastAsia="宋体" w:cs="Palatino Linotype"/>
          <w:i/>
          <w:iCs/>
          <w:sz w:val="18"/>
          <w:szCs w:val="18"/>
          <w:vertAlign w:val="superscript"/>
        </w:rPr>
        <w:t>***</w:t>
      </w:r>
      <w:r>
        <w:rPr>
          <w:rFonts w:hint="default" w:ascii="Palatino Linotype" w:hAnsi="Palatino Linotype" w:eastAsia="宋体" w:cs="Palatino Linotype"/>
          <w:i/>
          <w:iCs/>
          <w:sz w:val="18"/>
          <w:szCs w:val="18"/>
        </w:rPr>
        <w:t>P＜0.001</w:t>
      </w:r>
    </w:p>
    <w:p w14:paraId="3550E9B7">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auto"/>
    <w:pitch w:val="default"/>
    <w:sig w:usb0="E0000287" w:usb1="40000013" w:usb2="00000000" w:usb3="00000000" w:csb0="2000019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iMWI5ZjVhOTBkNDRmNDZlZWJmODk2NTZlNTRkYzQifQ=="/>
  </w:docVars>
  <w:rsids>
    <w:rsidRoot w:val="6BC31A6F"/>
    <w:rsid w:val="0ECB706E"/>
    <w:rsid w:val="1647045E"/>
    <w:rsid w:val="1ADC0AEE"/>
    <w:rsid w:val="47C2502C"/>
    <w:rsid w:val="490A0962"/>
    <w:rsid w:val="4E041A73"/>
    <w:rsid w:val="549E569E"/>
    <w:rsid w:val="5BD85B26"/>
    <w:rsid w:val="5DBF512A"/>
    <w:rsid w:val="6BC31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customStyle="1" w:styleId="4">
    <w:name w:val="三线表"/>
    <w:autoRedefine/>
    <w:qFormat/>
    <w:uiPriority w:val="99"/>
    <w:rPr>
      <w:rFonts w:eastAsia="Times New Roman"/>
    </w:rPr>
    <w:tblPr>
      <w:tblBorders>
        <w:top w:val="single" w:color="auto" w:sz="12" w:space="0"/>
        <w:bottom w:val="single" w:color="auto" w:sz="12" w:space="0"/>
      </w:tblBorders>
    </w:tblPr>
    <w:tblStylePr w:type="firstRow">
      <w:pPr>
        <w:wordWrap/>
        <w:spacing w:line="360" w:lineRule="exact"/>
        <w:jc w:val="center"/>
      </w:pPr>
      <w:rPr>
        <w:rFonts w:ascii="Times New Roman" w:hAnsi="Times New Roman" w:eastAsia="宋体"/>
        <w:b w:val="0"/>
        <w:i w:val="0"/>
        <w:sz w:val="21"/>
      </w:rPr>
      <w:tcPr>
        <w:tcBorders>
          <w:top w:val="single" w:color="auto" w:sz="12" w:space="0"/>
          <w:left w:val="nil"/>
          <w:bottom w:val="single" w:color="auto" w:sz="6" w:space="0"/>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558</Words>
  <Characters>3309</Characters>
  <Lines>0</Lines>
  <Paragraphs>0</Paragraphs>
  <TotalTime>0</TotalTime>
  <ScaleCrop>false</ScaleCrop>
  <LinksUpToDate>false</LinksUpToDate>
  <CharactersWithSpaces>3820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2024-05-19T12:14:00Z</dcterms:created>
  <dc:creator>Winn</dc:creator>
  <cp:lastModifiedBy>WPS_1683180453</cp:lastModifiedBy>
  <dcterms:modified xsi:type="dcterms:W3CDTF">2024-11-01T01:56:01Z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AAD10537E23945978D06811C6150C180_11</vt:lpwstr>
  </property>
</Properties>
</file>