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428E6B" w14:textId="77777777" w:rsidR="00896C84" w:rsidRPr="004C2748" w:rsidRDefault="00896C84" w:rsidP="00896C84">
      <w:pPr>
        <w:spacing w:line="360" w:lineRule="auto"/>
        <w:jc w:val="both"/>
        <w:rPr>
          <w:rFonts w:ascii="Times New Roman" w:hAnsi="Times New Roman" w:cs="Times New Roman"/>
          <w:lang w:val="en-US"/>
        </w:rPr>
      </w:pPr>
      <w:r w:rsidRPr="004C2748">
        <w:rPr>
          <w:rFonts w:ascii="Times New Roman" w:hAnsi="Times New Roman" w:cs="Times New Roman"/>
          <w:lang w:val="en-US"/>
        </w:rPr>
        <w:t xml:space="preserve">Table 6: </w:t>
      </w:r>
      <w:r w:rsidRPr="004C2748">
        <w:rPr>
          <w:rFonts w:ascii="Times New Roman" w:hAnsi="Times New Roman" w:cs="Times New Roman"/>
          <w:b/>
          <w:bCs/>
          <w:lang w:val="en-US"/>
        </w:rPr>
        <w:t>Ethical and Psychological Impact</w:t>
      </w:r>
      <w:r w:rsidRPr="004C2748">
        <w:rPr>
          <w:rFonts w:ascii="Times New Roman" w:hAnsi="Times New Roman" w:cs="Times New Roman"/>
          <w:lang w:val="en-US"/>
        </w:rPr>
        <w:t xml:space="preserv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04"/>
        <w:gridCol w:w="2019"/>
        <w:gridCol w:w="2796"/>
        <w:gridCol w:w="2643"/>
      </w:tblGrid>
      <w:tr w:rsidR="00896C84" w:rsidRPr="00E042E6" w14:paraId="6F22AFD4" w14:textId="77777777" w:rsidTr="00867DE1">
        <w:trPr>
          <w:tblHeader/>
          <w:tblCellSpacing w:w="15" w:type="dxa"/>
        </w:trPr>
        <w:tc>
          <w:tcPr>
            <w:tcW w:w="0" w:type="auto"/>
            <w:vAlign w:val="center"/>
            <w:hideMark/>
          </w:tcPr>
          <w:p w14:paraId="5C5E7B42" w14:textId="77777777" w:rsidR="00896C84" w:rsidRPr="00E042E6" w:rsidRDefault="00896C84" w:rsidP="00867DE1">
            <w:pPr>
              <w:spacing w:line="360" w:lineRule="auto"/>
              <w:jc w:val="both"/>
              <w:rPr>
                <w:rFonts w:ascii="Times New Roman" w:hAnsi="Times New Roman" w:cs="Times New Roman"/>
                <w:b/>
                <w:bCs/>
                <w:sz w:val="20"/>
                <w:szCs w:val="20"/>
                <w:lang w:val="en-US"/>
              </w:rPr>
            </w:pPr>
            <w:r w:rsidRPr="00E042E6">
              <w:rPr>
                <w:rFonts w:ascii="Times New Roman" w:hAnsi="Times New Roman" w:cs="Times New Roman"/>
                <w:b/>
                <w:bCs/>
                <w:sz w:val="20"/>
                <w:szCs w:val="20"/>
                <w:lang w:val="en-US"/>
              </w:rPr>
              <w:t>Category</w:t>
            </w:r>
          </w:p>
        </w:tc>
        <w:tc>
          <w:tcPr>
            <w:tcW w:w="0" w:type="auto"/>
            <w:vAlign w:val="center"/>
            <w:hideMark/>
          </w:tcPr>
          <w:p w14:paraId="2FAB6B65" w14:textId="77777777" w:rsidR="00896C84" w:rsidRPr="00E042E6" w:rsidRDefault="00896C84" w:rsidP="00867DE1">
            <w:pPr>
              <w:spacing w:line="360" w:lineRule="auto"/>
              <w:jc w:val="both"/>
              <w:rPr>
                <w:rFonts w:ascii="Times New Roman" w:hAnsi="Times New Roman" w:cs="Times New Roman"/>
                <w:b/>
                <w:bCs/>
                <w:sz w:val="20"/>
                <w:szCs w:val="20"/>
                <w:lang w:val="en-US"/>
              </w:rPr>
            </w:pPr>
            <w:r w:rsidRPr="00E042E6">
              <w:rPr>
                <w:rFonts w:ascii="Times New Roman" w:hAnsi="Times New Roman" w:cs="Times New Roman"/>
                <w:b/>
                <w:bCs/>
                <w:sz w:val="20"/>
                <w:szCs w:val="20"/>
                <w:lang w:val="en-US"/>
              </w:rPr>
              <w:t>Subcategory</w:t>
            </w:r>
          </w:p>
        </w:tc>
        <w:tc>
          <w:tcPr>
            <w:tcW w:w="0" w:type="auto"/>
            <w:vAlign w:val="center"/>
            <w:hideMark/>
          </w:tcPr>
          <w:p w14:paraId="5E43C20E" w14:textId="77777777" w:rsidR="00896C84" w:rsidRPr="00E042E6" w:rsidRDefault="00896C84" w:rsidP="00867DE1">
            <w:pPr>
              <w:spacing w:line="360" w:lineRule="auto"/>
              <w:jc w:val="both"/>
              <w:rPr>
                <w:rFonts w:ascii="Times New Roman" w:hAnsi="Times New Roman" w:cs="Times New Roman"/>
                <w:b/>
                <w:bCs/>
                <w:sz w:val="20"/>
                <w:szCs w:val="20"/>
                <w:lang w:val="en-US"/>
              </w:rPr>
            </w:pPr>
            <w:r w:rsidRPr="00E042E6">
              <w:rPr>
                <w:rFonts w:ascii="Times New Roman" w:hAnsi="Times New Roman" w:cs="Times New Roman"/>
                <w:b/>
                <w:bCs/>
                <w:sz w:val="20"/>
                <w:szCs w:val="20"/>
                <w:lang w:val="en-US"/>
              </w:rPr>
              <w:t>Findings</w:t>
            </w:r>
          </w:p>
        </w:tc>
        <w:tc>
          <w:tcPr>
            <w:tcW w:w="0" w:type="auto"/>
            <w:vAlign w:val="center"/>
            <w:hideMark/>
          </w:tcPr>
          <w:p w14:paraId="68786E0C" w14:textId="77777777" w:rsidR="00896C84" w:rsidRPr="00E042E6" w:rsidRDefault="00896C84" w:rsidP="00867DE1">
            <w:pPr>
              <w:spacing w:line="360" w:lineRule="auto"/>
              <w:jc w:val="both"/>
              <w:rPr>
                <w:rFonts w:ascii="Times New Roman" w:hAnsi="Times New Roman" w:cs="Times New Roman"/>
                <w:b/>
                <w:bCs/>
                <w:sz w:val="20"/>
                <w:szCs w:val="20"/>
                <w:lang w:val="en-US"/>
              </w:rPr>
            </w:pPr>
            <w:r w:rsidRPr="00E042E6">
              <w:rPr>
                <w:rFonts w:ascii="Times New Roman" w:hAnsi="Times New Roman" w:cs="Times New Roman"/>
                <w:b/>
                <w:bCs/>
                <w:sz w:val="20"/>
                <w:szCs w:val="20"/>
                <w:lang w:val="en-US"/>
              </w:rPr>
              <w:t>Authors</w:t>
            </w:r>
          </w:p>
        </w:tc>
      </w:tr>
      <w:tr w:rsidR="00896C84" w:rsidRPr="00E042E6" w14:paraId="66D961B1" w14:textId="77777777" w:rsidTr="00867DE1">
        <w:trPr>
          <w:tblCellSpacing w:w="15" w:type="dxa"/>
        </w:trPr>
        <w:tc>
          <w:tcPr>
            <w:tcW w:w="0" w:type="auto"/>
            <w:vAlign w:val="center"/>
            <w:hideMark/>
          </w:tcPr>
          <w:p w14:paraId="20C04051" w14:textId="77777777" w:rsidR="00896C84" w:rsidRPr="00E042E6" w:rsidRDefault="00896C84" w:rsidP="00867DE1">
            <w:pPr>
              <w:spacing w:line="360" w:lineRule="auto"/>
              <w:jc w:val="both"/>
              <w:rPr>
                <w:rFonts w:ascii="Times New Roman" w:hAnsi="Times New Roman" w:cs="Times New Roman"/>
                <w:sz w:val="20"/>
                <w:szCs w:val="20"/>
                <w:lang w:val="en-US"/>
              </w:rPr>
            </w:pPr>
            <w:r w:rsidRPr="00E042E6">
              <w:rPr>
                <w:rFonts w:ascii="Times New Roman" w:hAnsi="Times New Roman" w:cs="Times New Roman"/>
                <w:b/>
                <w:bCs/>
                <w:sz w:val="20"/>
                <w:szCs w:val="20"/>
                <w:lang w:val="en-US"/>
              </w:rPr>
              <w:t>Ethical and Psychological Impact</w:t>
            </w:r>
          </w:p>
        </w:tc>
        <w:tc>
          <w:tcPr>
            <w:tcW w:w="0" w:type="auto"/>
            <w:vAlign w:val="center"/>
            <w:hideMark/>
          </w:tcPr>
          <w:p w14:paraId="0A703746" w14:textId="77777777" w:rsidR="00896C84" w:rsidRPr="00E042E6" w:rsidRDefault="00896C84" w:rsidP="00867DE1">
            <w:pPr>
              <w:spacing w:line="360" w:lineRule="auto"/>
              <w:jc w:val="both"/>
              <w:rPr>
                <w:rFonts w:ascii="Times New Roman" w:hAnsi="Times New Roman" w:cs="Times New Roman"/>
                <w:sz w:val="20"/>
                <w:szCs w:val="20"/>
                <w:lang w:val="en-US"/>
              </w:rPr>
            </w:pPr>
            <w:r w:rsidRPr="00E042E6">
              <w:rPr>
                <w:rFonts w:ascii="Times New Roman" w:hAnsi="Times New Roman" w:cs="Times New Roman"/>
                <w:b/>
                <w:bCs/>
                <w:sz w:val="20"/>
                <w:szCs w:val="20"/>
                <w:lang w:val="en-US"/>
              </w:rPr>
              <w:t>Psychological Readiness for High-Stakes Environments</w:t>
            </w:r>
          </w:p>
        </w:tc>
        <w:tc>
          <w:tcPr>
            <w:tcW w:w="0" w:type="auto"/>
            <w:vAlign w:val="center"/>
            <w:hideMark/>
          </w:tcPr>
          <w:p w14:paraId="0E0535B9" w14:textId="77777777" w:rsidR="00896C84" w:rsidRPr="00E042E6" w:rsidRDefault="00896C84" w:rsidP="00867DE1">
            <w:pPr>
              <w:spacing w:line="360" w:lineRule="auto"/>
              <w:jc w:val="both"/>
              <w:rPr>
                <w:rFonts w:ascii="Times New Roman" w:hAnsi="Times New Roman" w:cs="Times New Roman"/>
                <w:sz w:val="20"/>
                <w:szCs w:val="20"/>
                <w:lang w:val="en-US"/>
              </w:rPr>
            </w:pPr>
            <w:r w:rsidRPr="00E042E6">
              <w:rPr>
                <w:rFonts w:ascii="Times New Roman" w:hAnsi="Times New Roman" w:cs="Times New Roman"/>
                <w:sz w:val="20"/>
                <w:szCs w:val="20"/>
                <w:lang w:val="en-US"/>
              </w:rPr>
              <w:t>Exposure to realistic simulations builds resilience and stress management skills in high-pressure situations.</w:t>
            </w:r>
          </w:p>
        </w:tc>
        <w:tc>
          <w:tcPr>
            <w:tcW w:w="0" w:type="auto"/>
            <w:vAlign w:val="center"/>
            <w:hideMark/>
          </w:tcPr>
          <w:p w14:paraId="78EAC402" w14:textId="77777777" w:rsidR="00896C84" w:rsidRPr="00E042E6" w:rsidRDefault="00896C84" w:rsidP="00867DE1">
            <w:pPr>
              <w:spacing w:line="360" w:lineRule="auto"/>
              <w:jc w:val="both"/>
              <w:rPr>
                <w:rFonts w:ascii="Times New Roman" w:hAnsi="Times New Roman" w:cs="Times New Roman"/>
                <w:kern w:val="0"/>
                <w:sz w:val="20"/>
                <w:szCs w:val="20"/>
                <w:lang w:val="en-US"/>
              </w:rPr>
            </w:pPr>
            <w:r w:rsidRPr="00E042E6">
              <w:rPr>
                <w:rFonts w:ascii="Times New Roman" w:hAnsi="Times New Roman" w:cs="Times New Roman"/>
                <w:sz w:val="20"/>
                <w:szCs w:val="20"/>
                <w:lang w:val="en-US"/>
              </w:rPr>
              <w:fldChar w:fldCharType="begin"/>
            </w:r>
            <w:r w:rsidRPr="00E042E6">
              <w:rPr>
                <w:rFonts w:ascii="Times New Roman" w:hAnsi="Times New Roman" w:cs="Times New Roman"/>
                <w:sz w:val="20"/>
                <w:szCs w:val="20"/>
                <w:lang w:val="en-US"/>
              </w:rPr>
              <w:instrText xml:space="preserve"> ADDIN ZOTERO_ITEM CSL_CITATION {"citationID":"IYyI7pLz","properties":{"formattedCitation":"(Bo\\uc0\\u382{}i\\uc0\\u263{}, 2024; Elendu et al., 2024; George, 2023; Strielkowski et al., 2024)","plainCitation":"(Božić, 2024; Elendu et al., 2024; George, 2023; Strielkowski et al., 2024)","dontUpdate":true,"noteIndex":0},"citationItems":[{"id":2311,"uris":["http://zotero.org/users/10512605/items/TF7MVU9U"],"itemData":{"id":2311,"type":"chapter","abstract":"Artificial Intelligence (AI) is increasingly being integrated into various fields, including healthcare and nursing education. This abstract explores the topic of AI in nurse education, highlighting its importance, current practices, and potential benefits and challenges. The integration of AI in nurse education involves incorporating AI concepts, technologies, and applications into the nursing curriculum. It aims to prepare nursing students for the evolving healthcare landscape, equip them with essential AI-related skills, and enhance their ability to provide safe and efficient patient care. The use of AI in nurse education encompasses various approaches, such as the integration of AI-based simulations and virtual patients, the utilization of AI-driven clinical decision support systems, and the exploration of AI ethics and responsible AI use. These approaches provide opportunities for students to develop critical thinking, decision-making, and data analysis skills in the context of AI in healthcare. While AI has the potential to revolutionize nursing education and practice, it also presents certain challenges and considerations. These include ethical concerns related to data privacy, algorithm transparency, and potential biases in AI algorithms. It is essential to address these challenges and ensure responsible use of AI in nursing education. To overcome the risks and challenges associated with teaching AI in nurse education, strategies such as comprehensive curriculum design, faculty development and training, hands-on practical experiences, collaboration with industry experts, and continuous learning and adaptation are crucial. The literature on AI in nursing education provides valuable insights into the current state of research, examples of AI integration in nursing curricula, and the impact on student outcomes. Researchers have explored topics such as virtual simulations, student perceptions, faculty perspectives, AI competencies, and ethical considerations in integrating AI into nursing education. Access to information about AI in nurse education can be obtained from academic journals, conferences, professional associations, books, online databases, institutional websites, government reports, and reputable online resources. In summary, the integration of AI in nurse education is an emerging field that holds promise for enhancing nursing education and preparing future nurses for AI-driven healthcare. By addressing the challenges, promoting responsible AI use, and leveraging the benefits of AI, nurse educators can create a supportive and informed learning environment that equips nurses with the skills and knowledge necessary for the future of healthcare.","container-title":"Engineering Applications of Artificial Intelligence","event-place":"Cham","ISBN":"978-3-031-50300-9","language":"en","note":"DOI: 10.1007/978-3-031-50300-9_9","page":"143-172","publisher":"Springer Nature Switzerland","publisher-place":"Cham","source":"Springer Link","title":"Artifical Intelligence in Nurse Education","URL":"https://doi.org/10.1007/978-3-031-50300-9_9","author":[{"family":"Božić","given":"Velibor"}],"editor":[{"family":"Chakir","given":"Aziza"},{"family":"Andry","given":"Johanes Fernandes"},{"family":"Ullah","given":"Arif"},{"family":"Bansal","given":"Rohit"},{"family":"Ghazouani","given":"Mohamed"}],"accessed":{"date-parts":[["2024",11,3]]},"issued":{"date-parts":[["2024"]]}}},{"id":2156,"uris":["http://zotero.org/users/10512605/items/TDSZYG7Y"],"itemData":{"id":2156,"type":"article-journal","abstract":"Simulation-based training (SBT) has emerged as a transformative approach in medical education, significantly enhancing healthcare professionals’ learning experience and clinical competency. This article explores the impact of SBT, tracing its historical development and examining the various types of simulations utilized today, including high-fidelity mannequins, virtual reality environments, standardized patients, and hybrid simulations. These methods offer a safe and controlled environment for students to practice and hone technical and non-technical skills, ultimately improving patient safety and clinical outcomes. The benefits of SBT are manifold, including enhanced skill acquisition, error reduction, and the opportunity for repeated practice without risk to actual patients. Immediate feedback and structured debriefing further solidify learning, making Simulation an invaluable tool in medical education. However, the implementation of SBT is challenging. It requires substantial financial investment, specialized equipment, and trained faculty. Additionally, there are concerns about the realism of simulations and the transferability of skills to real-world clinical settings. Despite these challenges, numerous case studies and empirical research underscore the effectiveness of SBT compared to traditional methods. Looking ahead, advancements in technology, such as artificial intelligence and improved virtual reality applications, promise to enhance the efficacy and accessibility of simulation training. The integration of Simulation with other training modalities and its adoption in diverse global contexts highlight its potential to revolutionize medical education worldwide. This article affirms the crucial role of SBT in preparing the next generation of healthcare professionals and its ongoing evolution driven by technological innovations.","container-title":"Medicine","DOI":"10.1097/MD.0000000000038813","issue":"27","language":"en-US","page":"e38813","source":"journals.lww.com","title":"The impact of simulation-based training in medical education: A review","title-short":"The impact of simulation-based training in medical education","volume":"103","author":[{"family":"Elendu","given":"Chukwuka"},{"family":"Amaechi","given":"Dependable C."},{"family":"Okatta","given":"Alexander U."},{"family":"Amaechi","given":"Emmanuel C."},{"family":"Elendu","given":"Tochi C."},{"family":"Ezeh","given":"Chiamaka P."},{"family":"Elendu","given":"Ijeoma D."}],"issued":{"date-parts":[["2024",7,5]]}}},{"id":2308,"uris":["http://zotero.org/users/10512605/items/SNN8M6GX"],"itemData":{"id":2308,"type":"article-journal","abstract":"The rise of artificial intelligence (AI) is transforming the workplace and society. As AI systems take on more complex cognitive tasks, skills like creativity, critical thinking, and adaptability will become increasingly important for human workers. Education systems need to evolve to prepare students for an AI-driven world. This paper argues that curriculum and teaching methods should shift to build competencies like problem-solving, collaboration, computational thinking, and lifelong learning. Rote memorization needs to be deemphasized in favor of active, interdisciplinary learning. Students need broad exposure to ethics, philosophy, and the social sciences to critically analyze how AI is reshaping society. Project-based and hands-on learning builds the resilience and complex problem-solving abilities needed to complement AI systems. Curriculum should incorporate discussions of AI's potential impacts on inequality, automation, and the future of work. Teachers need to transition from passive lecturing to guiding active learning experiences. Growth mindsets must be fostered so students are motivated to continuously reskill. Collaborative and team-based learning mirrors the interdisciplinary cooperation needed in AI development. Technology should be integrated thoughtfully based on learning objectives, not for technology's sake alone. Ongoing feedback via formative assessment replaces high-stakes exams. These proposals face barriers like standardized testing mandates, teacher training gaps, and resistance to pedagogical change. But education leaders must rise to the challenge. The interdisciplinary competencies needed in an AI era — creativity, communication, computational thinking, and lifelong learning — necessitate rethinking both what is taught and how. Curriculum and teaching strategies rooted in the 20th century industrial model will not adequately cultivate the flexible, well-rounded skill sets humans need to complement AI systems and continue innovating. Policymakers and education leaders must collaborate to build the learning environments students need to think critically, work creatively, and thrive in an AIdriven world.","container-title":"Partners Universal Innovative Research Publication","DOI":"10.5281/zenodo.10245675","issue":"2","journalAbbreviation":"PUIRP","language":"en","license":"Copyright (c) 2023","note":"number: 2","page":"112-136","source":"puirp.com","title":"Preparing Students for an AI-Driven World: Rethinking Curriculum and Pedagogy in the Age of Artificial Intelligence","title-short":"Preparing Students for an AI-Driven World","volume":"1","author":[{"family":"George","given":"Dr A. Shaji"}],"issued":{"date-parts":[["2023",12,11]]}}},{"id":2313,"uris":["http://zotero.org/users/10512605/items/HVMGFV83"],"itemData":{"id":2313,"type":"article-journal","abstract":"This paper scrutinizes how adaptive learning technologies and artificial intelligence (AI) are transforming today's education by making it personalized, accessible, and efficient as well as leading people to accepting, addressing, and mitigating sustainable development. Recently, education witnessed a remarkable technological surge driven by various advances in technology, which can be demonstrated by the increase of the number of scientific publications on this topic from just 1 in 1990 to 636 in 2023. Ongoing digitalization and technological revolution in education together with the novel approach to respect each student's unique learning style and abilities paved the way for adaptive learning technologies represented by the innovative tools that personalize educational experiences to cater to individual learners. All of that contributes to preparing more educated and informed citizens, drives innovation, and supports economic growth necessary for achieving a sustainable future. Our bibliographic study employs VOSviewer to conduct a bibliometric analysis of a total number of 3518 selected publications using the keywords “adaptive learning” and “AI” (represented by articles, proceeding papers, and book chapters) indexed in the Web of Science (WoS) database from 1990 to 2024. Our results demonstrate that recent technological changes played a key role in transforming adaptive learning, which was rather reinforced by the “digital surge” in education brought about by the COVID-19 pandemic. Our findings can be useful for further development in the field of adaptive education where they can be employed by the relevant stakeholders and policymakers as well as by the scholars and researchers.","container-title":"Sustainable Development","DOI":"10.1002/sd.3221","ISSN":"1099-1719","issue":"n/a","language":"en","license":"© 2024 The Author(s). Sustainable Development published by ERP Environment and John Wiley &amp; Sons Ltd.","note":"_eprint: https://onlinelibrary.wiley.com/doi/pdf/10.1002/sd.3221","source":"Wiley Online Library","title":"AI-driven adaptive learning for sustainable educational transformation","URL":"https://onlinelibrary.wiley.com/doi/abs/10.1002/sd.3221","volume":"n/a","author":[{"family":"Strielkowski","given":"Wadim"},{"family":"Grebennikova","given":"Veronika"},{"family":"Lisovskiy","given":"Alexander"},{"family":"Rakhimova","given":"Guzalbegim"},{"family":"Vasileva","given":"Tatiana"}],"accessed":{"date-parts":[["2024",11,3]]},"issued":{"date-parts":[["2024"]]}},"label":"page"}],"schema":"https://github.com/citation-style-language/schema/raw/master/csl-citation.json"} </w:instrText>
            </w:r>
            <w:r w:rsidRPr="00E042E6">
              <w:rPr>
                <w:rFonts w:ascii="Times New Roman" w:hAnsi="Times New Roman" w:cs="Times New Roman"/>
                <w:sz w:val="20"/>
                <w:szCs w:val="20"/>
                <w:lang w:val="en-US"/>
              </w:rPr>
              <w:fldChar w:fldCharType="separate"/>
            </w:r>
            <w:r w:rsidRPr="00E042E6">
              <w:rPr>
                <w:rFonts w:ascii="Times New Roman" w:hAnsi="Times New Roman" w:cs="Times New Roman"/>
                <w:kern w:val="0"/>
                <w:sz w:val="20"/>
                <w:szCs w:val="20"/>
                <w:lang w:val="en-US"/>
              </w:rPr>
              <w:t xml:space="preserve">Božić, </w:t>
            </w:r>
            <w:proofErr w:type="gramStart"/>
            <w:r w:rsidRPr="00E042E6">
              <w:rPr>
                <w:rFonts w:ascii="Times New Roman" w:hAnsi="Times New Roman" w:cs="Times New Roman"/>
                <w:kern w:val="0"/>
                <w:sz w:val="20"/>
                <w:szCs w:val="20"/>
                <w:lang w:val="en-US"/>
              </w:rPr>
              <w:t>2024;</w:t>
            </w:r>
            <w:proofErr w:type="gramEnd"/>
          </w:p>
          <w:p w14:paraId="616E7DB5" w14:textId="77777777" w:rsidR="00896C84" w:rsidRPr="00E042E6" w:rsidRDefault="00896C84" w:rsidP="00867DE1">
            <w:pPr>
              <w:spacing w:line="360" w:lineRule="auto"/>
              <w:jc w:val="both"/>
              <w:rPr>
                <w:rFonts w:ascii="Times New Roman" w:hAnsi="Times New Roman" w:cs="Times New Roman"/>
                <w:sz w:val="20"/>
                <w:szCs w:val="20"/>
              </w:rPr>
            </w:pPr>
            <w:proofErr w:type="spellStart"/>
            <w:r w:rsidRPr="00E042E6">
              <w:rPr>
                <w:rFonts w:ascii="Times New Roman" w:hAnsi="Times New Roman" w:cs="Times New Roman"/>
                <w:kern w:val="0"/>
                <w:sz w:val="20"/>
                <w:szCs w:val="20"/>
              </w:rPr>
              <w:t>Elendu</w:t>
            </w:r>
            <w:proofErr w:type="spellEnd"/>
            <w:r w:rsidRPr="00E042E6">
              <w:rPr>
                <w:rFonts w:ascii="Times New Roman" w:hAnsi="Times New Roman" w:cs="Times New Roman"/>
                <w:kern w:val="0"/>
                <w:sz w:val="20"/>
                <w:szCs w:val="20"/>
              </w:rPr>
              <w:t xml:space="preserve"> et al., 2024; George, 2023; </w:t>
            </w:r>
            <w:proofErr w:type="spellStart"/>
            <w:r w:rsidRPr="00E042E6">
              <w:rPr>
                <w:rFonts w:ascii="Times New Roman" w:hAnsi="Times New Roman" w:cs="Times New Roman"/>
                <w:kern w:val="0"/>
                <w:sz w:val="20"/>
                <w:szCs w:val="20"/>
              </w:rPr>
              <w:t>Strielkowski</w:t>
            </w:r>
            <w:proofErr w:type="spellEnd"/>
            <w:r w:rsidRPr="00E042E6">
              <w:rPr>
                <w:rFonts w:ascii="Times New Roman" w:hAnsi="Times New Roman" w:cs="Times New Roman"/>
                <w:kern w:val="0"/>
                <w:sz w:val="20"/>
                <w:szCs w:val="20"/>
              </w:rPr>
              <w:t xml:space="preserve"> et al., 2024</w:t>
            </w:r>
            <w:r w:rsidRPr="00E042E6">
              <w:rPr>
                <w:rFonts w:ascii="Times New Roman" w:hAnsi="Times New Roman" w:cs="Times New Roman"/>
                <w:sz w:val="20"/>
                <w:szCs w:val="20"/>
                <w:lang w:val="en-US"/>
              </w:rPr>
              <w:fldChar w:fldCharType="end"/>
            </w:r>
          </w:p>
        </w:tc>
      </w:tr>
      <w:tr w:rsidR="00896C84" w:rsidRPr="00E042E6" w14:paraId="3F516D07" w14:textId="77777777" w:rsidTr="00867DE1">
        <w:trPr>
          <w:tblCellSpacing w:w="15" w:type="dxa"/>
        </w:trPr>
        <w:tc>
          <w:tcPr>
            <w:tcW w:w="0" w:type="auto"/>
            <w:vAlign w:val="center"/>
            <w:hideMark/>
          </w:tcPr>
          <w:p w14:paraId="3C85B471" w14:textId="77777777" w:rsidR="00896C84" w:rsidRPr="00E042E6" w:rsidRDefault="00896C84" w:rsidP="00867DE1">
            <w:pPr>
              <w:spacing w:line="360" w:lineRule="auto"/>
              <w:jc w:val="both"/>
              <w:rPr>
                <w:rFonts w:ascii="Times New Roman" w:hAnsi="Times New Roman" w:cs="Times New Roman"/>
                <w:sz w:val="20"/>
                <w:szCs w:val="20"/>
                <w:lang w:val="en-US"/>
              </w:rPr>
            </w:pPr>
            <w:r w:rsidRPr="00E042E6">
              <w:rPr>
                <w:rFonts w:ascii="Times New Roman" w:hAnsi="Times New Roman" w:cs="Times New Roman"/>
                <w:b/>
                <w:bCs/>
                <w:sz w:val="20"/>
                <w:szCs w:val="20"/>
                <w:lang w:val="en-US"/>
              </w:rPr>
              <w:t>Ethical and Psychological Impact</w:t>
            </w:r>
          </w:p>
        </w:tc>
        <w:tc>
          <w:tcPr>
            <w:tcW w:w="0" w:type="auto"/>
            <w:vAlign w:val="center"/>
            <w:hideMark/>
          </w:tcPr>
          <w:p w14:paraId="70683787" w14:textId="77777777" w:rsidR="00896C84" w:rsidRPr="00E042E6" w:rsidRDefault="00896C84" w:rsidP="00867DE1">
            <w:pPr>
              <w:spacing w:line="360" w:lineRule="auto"/>
              <w:jc w:val="both"/>
              <w:rPr>
                <w:rFonts w:ascii="Times New Roman" w:hAnsi="Times New Roman" w:cs="Times New Roman"/>
                <w:sz w:val="20"/>
                <w:szCs w:val="20"/>
                <w:lang w:val="en-US"/>
              </w:rPr>
            </w:pPr>
            <w:r w:rsidRPr="00E042E6">
              <w:rPr>
                <w:rFonts w:ascii="Times New Roman" w:hAnsi="Times New Roman" w:cs="Times New Roman"/>
                <w:b/>
                <w:bCs/>
                <w:sz w:val="20"/>
                <w:szCs w:val="20"/>
                <w:lang w:val="en-US"/>
              </w:rPr>
              <w:t>Ethical Awareness in Simulations</w:t>
            </w:r>
          </w:p>
        </w:tc>
        <w:tc>
          <w:tcPr>
            <w:tcW w:w="0" w:type="auto"/>
            <w:vAlign w:val="center"/>
            <w:hideMark/>
          </w:tcPr>
          <w:p w14:paraId="69272622" w14:textId="77777777" w:rsidR="00896C84" w:rsidRPr="00E042E6" w:rsidRDefault="00896C84" w:rsidP="00867DE1">
            <w:pPr>
              <w:spacing w:line="360" w:lineRule="auto"/>
              <w:jc w:val="both"/>
              <w:rPr>
                <w:rFonts w:ascii="Times New Roman" w:hAnsi="Times New Roman" w:cs="Times New Roman"/>
                <w:sz w:val="20"/>
                <w:szCs w:val="20"/>
                <w:lang w:val="en-US"/>
              </w:rPr>
            </w:pPr>
            <w:r w:rsidRPr="00E042E6">
              <w:rPr>
                <w:rFonts w:ascii="Times New Roman" w:hAnsi="Times New Roman" w:cs="Times New Roman"/>
                <w:sz w:val="20"/>
                <w:szCs w:val="20"/>
                <w:lang w:val="en-US"/>
              </w:rPr>
              <w:t>VR simulations present ethical dilemmas, fostering critical thinking around patient safety and care ethics.</w:t>
            </w:r>
          </w:p>
        </w:tc>
        <w:tc>
          <w:tcPr>
            <w:tcW w:w="0" w:type="auto"/>
            <w:vAlign w:val="center"/>
            <w:hideMark/>
          </w:tcPr>
          <w:p w14:paraId="1DEEDC5E" w14:textId="77777777" w:rsidR="00896C84" w:rsidRPr="00E042E6" w:rsidRDefault="00896C84" w:rsidP="00867DE1">
            <w:pPr>
              <w:spacing w:line="360" w:lineRule="auto"/>
              <w:jc w:val="both"/>
              <w:rPr>
                <w:rFonts w:ascii="Times New Roman" w:hAnsi="Times New Roman" w:cs="Times New Roman"/>
                <w:sz w:val="20"/>
                <w:szCs w:val="20"/>
                <w:lang w:val="en-US"/>
              </w:rPr>
            </w:pPr>
            <w:r w:rsidRPr="00E042E6">
              <w:rPr>
                <w:rFonts w:ascii="Times New Roman" w:hAnsi="Times New Roman" w:cs="Times New Roman"/>
                <w:sz w:val="20"/>
                <w:szCs w:val="20"/>
                <w:lang w:val="en-US"/>
              </w:rPr>
              <w:fldChar w:fldCharType="begin"/>
            </w:r>
            <w:r w:rsidRPr="00E042E6">
              <w:rPr>
                <w:rFonts w:ascii="Times New Roman" w:hAnsi="Times New Roman" w:cs="Times New Roman"/>
                <w:sz w:val="20"/>
                <w:szCs w:val="20"/>
                <w:lang w:val="en-US"/>
              </w:rPr>
              <w:instrText xml:space="preserve"> ADDIN ZOTERO_ITEM CSL_CITATION {"citationID":"NxpYbJC7","properties":{"formattedCitation":"(Datta et al., 2012; Okuda et al., 2009; Wood et al., 2022)","plainCitation":"(Datta et al., 2012; Okuda et al., 2009; Wood et al., 2022)","dontUpdate":true,"noteIndex":0},"citationItems":[{"id":2320,"uris":["http://zotero.org/users/10512605/items/PWZZKQ7D"],"itemData":{"id":2320,"type":"article-journal","abstract":"Medical education is increasingly laying emphasis on a curriculum based on cognitive, psychomotor, and affective domains of learning which were originally proposed nearly 50 years ago. These reforms are framed around best standards of care, error management and patient safety, patient autonomy, and resource allocation. There is a worldwide shift in the method of medical education towards experiential (‘hands-on’) medical learning; however, applying this concept to real patients is less acceptable to society and is subject to legal and ethical issues. Simulation is the artificial representation of a complex real-world process with sufficient fidelity with the aim to facilitate learning through immersion, reflection, feedback, and practice minus the risks inherent in a similar real-life experience. Medical simulation offers numerous potential strategies for comprehensive and practical training, and safer patient care. It is a technique, rather than just a technology that promotes experiential and reflective learning. It is also a key strategy to teach crisis resource management skills. Simulation can benefit the individual learner, the multidisciplinary team, and the hospital as a whole. In this review, the authors discuss the role of simulation in five situations namely undergraduate teaching, postgraduate training, continuing medical education, disaster management, and military trauma management and dwell upon the experience of medical simulation in the Armed Forces.","container-title":"Medical Journal Armed Forces India","DOI":"10.1016/S0377-1237(12)60040-9","ISSN":"0377-1237","issue":"2","journalAbbreviation":"Medical Journal Armed Forces India","page":"167-172","source":"ScienceDirect","title":"Simulation and its role in medical education","volume":"68","author":[{"family":"Datta","given":"Rashmi"},{"family":"Upadhyay","given":"KK"},{"family":"Jaideep","given":"CN"}],"issued":{"date-parts":[["2012",4,1]]}}},{"id":2317,"uris":["http://zotero.org/users/10512605/items/HZ3U3E83"],"itemData":{"id":2317,"type":"article-journal","abstract":"Medical schools and residencies are currently facing a shift in their teaching paradigm. The increasing amount of medical information and research makes it difficult for medical education to stay current in its curriculum. As patients become increasingly concerned that students and residents are “practicing” on them, clinical medicine is becoming focused more on patient safety and quality than on bedside teaching and education. Educators have faced these challenges by restructuring curricula, developing small-group sessions, and increasing self-directed learning and independent research. Nevertheless, a disconnect still exists between the classroom and the clinical environment. Many students feel that they are inadequately trained in history taking, physical examination, diagnosis, and management. Medical simulation has been proposed as a technique to bridge this educational gap. This article reviews the evidence for the utility of simulation in medical education. We conducted a MEDLINE search of original articles and review articles related to simulation in education with key words such as simulation, mannequin simulator, partial task simulator, graduate medical education, undergraduate medical education, and continuing medical education. Articles, related to undergraduate medical education, graduate medical education, and continuing medical education were used in the review. One hundred thirteen articles were included in this review. Simulation-based training was demonstrated to lead to clinical improvement in 2 areas of simulation research. Residents trained on laparoscopic surgery simulators showed improvement in procedural performance in the operating room. The other study showed that residents trained on simulators were more likely to adhere to the advanced cardiac life support protocol than those who received standard training for cardiac arrest patients. In other areas of medical training, simulation has been demonstrated to lead to improvements in medical knowledge, comfort in procedures, and improvements in performance during retesting in simulated scenarios. Simulation has also been shown to be a reliable tool for assessing learners and for teaching topics such as teamwork and communication. Only a few studies have shown direct improvements in clinical outcomes from the use of simulation for training. Multiple studies have demonstrated the effectiveness of simulation in the teaching of basic science and clinical knowledge, procedural skills, teamwork, and communication as well as assessment at the undergraduate and graduate medical education levels. As simulation becomes increasingly prevalent in medical school and resident education, more studies are needed to see if simulation training improves patient outcomes. Mt Sinai J Med 76:330–343, 2009. © 2008 Mount Sinai School of Medicine","container-title":"Mount Sinai Journal of Medicine: A Journal of Translational and Personalized Medicine","DOI":"10.1002/msj.20127","ISSN":"1931-7581","issue":"4","language":"en","license":"© 2009 Mount Sinai School of Medicine","note":"_eprint: https://onlinelibrary.wiley.com/doi/pdf/10.1002/msj.20127","page":"330-343","source":"Wiley Online Library","title":"The Utility of Simulation in Medical Education: What Is the Evidence?","title-short":"The Utility of Simulation in Medical Education","volume":"76","author":[{"family":"Okuda","given":"Yasuharu"},{"family":"Bryson","given":"Ethan O."},{"family":"DeMaria Jr","given":"Samuel"},{"family":"Jacobson","given":"Lisa"},{"family":"Quinones","given":"Joshua"},{"family":"Shen","given":"Bing"},{"family":"Levine","given":"Adam I."}],"issued":{"date-parts":[["2009"]]}}},{"id":2324,"uris":["http://zotero.org/users/10512605/items/M3AFAAMZ"],"itemData":{"id":2324,"type":"article-journal","abstract":"Background\nIn the context of performing resuscitation, research has demonstrated that provider confidence and stress levels are related to patient survival outcomes. Virtual reality (VR) offers innovative simulation training opportunities to improve confidence and reduce stress.\nMethod\nWhittemore and Knafl's (2005) integrative review method was used. An electronic database literature search and evaluation of studies using the BEME critical appraisal tool yielded five papers for this review.\nResults\nFour studies examined confidence and one stress. Identified themes included: Variation in virtual reality intervention; Timing of measurement outcome; and variation in VR interactivity.\nConclusion\nConfidence was noted to generally increase through the use of VR across the studies reviewed, with no significant impact on stress outcomes. Differences in study heterogeneity reflects that further research is required to determine if the use of VR technologies impacts on confidence and stress in resuscitation training.","container-title":"Clinical Simulation in Nursing","DOI":"10.1016/j.ecns.2022.02.006","ISSN":"1876-1399","journalAbbreviation":"Clinical Simulation in Nursing","page":"5-17","source":"ScienceDirect","title":"Implementation Methods of Virtual Reality Simulation and the Impact on Confidence and Stress When Learning Patient Resuscitation: An Integrative Review","title-short":"Implementation Methods of Virtual Reality Simulation and the Impact on Confidence and Stress When Learning Patient Resuscitation","volume":"66","author":[{"family":"Wood","given":"Jessica"},{"family":"Ebert","given":"Lyn"},{"family":"Duff","given":"Jed"}],"issued":{"date-parts":[["2022",5,1]]}}}],"schema":"https://github.com/citation-style-language/schema/raw/master/csl-citation.json"} </w:instrText>
            </w:r>
            <w:r w:rsidRPr="00E042E6">
              <w:rPr>
                <w:rFonts w:ascii="Times New Roman" w:hAnsi="Times New Roman" w:cs="Times New Roman"/>
                <w:sz w:val="20"/>
                <w:szCs w:val="20"/>
                <w:lang w:val="en-US"/>
              </w:rPr>
              <w:fldChar w:fldCharType="separate"/>
            </w:r>
            <w:r w:rsidRPr="00E042E6">
              <w:rPr>
                <w:rFonts w:ascii="Times New Roman" w:hAnsi="Times New Roman" w:cs="Times New Roman"/>
                <w:sz w:val="20"/>
                <w:szCs w:val="20"/>
                <w:lang w:val="en-US"/>
              </w:rPr>
              <w:t xml:space="preserve">Datta et al., </w:t>
            </w:r>
            <w:proofErr w:type="gramStart"/>
            <w:r w:rsidRPr="00E042E6">
              <w:rPr>
                <w:rFonts w:ascii="Times New Roman" w:hAnsi="Times New Roman" w:cs="Times New Roman"/>
                <w:sz w:val="20"/>
                <w:szCs w:val="20"/>
                <w:lang w:val="en-US"/>
              </w:rPr>
              <w:t>2012;</w:t>
            </w:r>
            <w:proofErr w:type="gramEnd"/>
            <w:r w:rsidRPr="00E042E6">
              <w:rPr>
                <w:rFonts w:ascii="Times New Roman" w:hAnsi="Times New Roman" w:cs="Times New Roman"/>
                <w:sz w:val="20"/>
                <w:szCs w:val="20"/>
                <w:lang w:val="en-US"/>
              </w:rPr>
              <w:t xml:space="preserve"> </w:t>
            </w:r>
          </w:p>
          <w:p w14:paraId="6F88B8D8" w14:textId="77777777" w:rsidR="00896C84" w:rsidRPr="00E042E6" w:rsidRDefault="00896C84" w:rsidP="00867DE1">
            <w:pPr>
              <w:spacing w:line="360" w:lineRule="auto"/>
              <w:jc w:val="both"/>
              <w:rPr>
                <w:rFonts w:ascii="Times New Roman" w:hAnsi="Times New Roman" w:cs="Times New Roman"/>
                <w:sz w:val="20"/>
                <w:szCs w:val="20"/>
              </w:rPr>
            </w:pPr>
            <w:proofErr w:type="spellStart"/>
            <w:r w:rsidRPr="00E042E6">
              <w:rPr>
                <w:rFonts w:ascii="Times New Roman" w:hAnsi="Times New Roman" w:cs="Times New Roman"/>
                <w:sz w:val="20"/>
                <w:szCs w:val="20"/>
              </w:rPr>
              <w:t>Okuda</w:t>
            </w:r>
            <w:proofErr w:type="spellEnd"/>
            <w:r w:rsidRPr="00E042E6">
              <w:rPr>
                <w:rFonts w:ascii="Times New Roman" w:hAnsi="Times New Roman" w:cs="Times New Roman"/>
                <w:sz w:val="20"/>
                <w:szCs w:val="20"/>
              </w:rPr>
              <w:t xml:space="preserve"> et al., 2009; </w:t>
            </w:r>
          </w:p>
          <w:p w14:paraId="6B28273C" w14:textId="77777777" w:rsidR="00896C84" w:rsidRPr="00E042E6" w:rsidRDefault="00896C84" w:rsidP="00867DE1">
            <w:pPr>
              <w:spacing w:line="360" w:lineRule="auto"/>
              <w:jc w:val="both"/>
              <w:rPr>
                <w:rFonts w:ascii="Times New Roman" w:hAnsi="Times New Roman" w:cs="Times New Roman"/>
                <w:sz w:val="20"/>
                <w:szCs w:val="20"/>
              </w:rPr>
            </w:pPr>
            <w:r w:rsidRPr="00E042E6">
              <w:rPr>
                <w:rFonts w:ascii="Times New Roman" w:hAnsi="Times New Roman" w:cs="Times New Roman"/>
                <w:sz w:val="20"/>
                <w:szCs w:val="20"/>
              </w:rPr>
              <w:t>Wood et al., 2022;</w:t>
            </w:r>
            <w:r w:rsidRPr="00E042E6">
              <w:rPr>
                <w:rFonts w:ascii="Times New Roman" w:hAnsi="Times New Roman" w:cs="Times New Roman"/>
                <w:sz w:val="20"/>
                <w:szCs w:val="20"/>
                <w:lang w:val="en-US"/>
              </w:rPr>
              <w:fldChar w:fldCharType="end"/>
            </w:r>
            <w:r w:rsidRPr="00E042E6">
              <w:rPr>
                <w:rFonts w:ascii="Times New Roman" w:hAnsi="Times New Roman" w:cs="Times New Roman"/>
                <w:sz w:val="20"/>
                <w:szCs w:val="20"/>
              </w:rPr>
              <w:t xml:space="preserve"> </w:t>
            </w:r>
            <w:r w:rsidRPr="00E042E6">
              <w:rPr>
                <w:rFonts w:ascii="Times New Roman" w:hAnsi="Times New Roman" w:cs="Times New Roman"/>
                <w:sz w:val="20"/>
                <w:szCs w:val="20"/>
                <w:lang w:val="en-US"/>
              </w:rPr>
              <w:fldChar w:fldCharType="begin"/>
            </w:r>
            <w:r w:rsidRPr="00E042E6">
              <w:rPr>
                <w:rFonts w:ascii="Times New Roman" w:hAnsi="Times New Roman" w:cs="Times New Roman"/>
                <w:sz w:val="20"/>
                <w:szCs w:val="20"/>
              </w:rPr>
              <w:instrText xml:space="preserve"> ADDIN ZOTERO_ITEM CSL_CITATION {"citationID":"SGFxh3yW","properties":{"formattedCitation":"(Abdellatif et al., 2022; Scherr et al., 2023; Xu et al., 2024)","plainCitation":"(Abdellatif et al., 2022; Scherr et al., 2023; Xu et al., 2024)","dontUpdate":true,"noteIndex":0},"citationItems":[{"id":2346,"uris":["http://zotero.org/users/10512605/items/I4INX7L2"],"itemData":{"id":2346,"type":"article-journal","abstract":"Anatomy is taught in the early years of an undergraduate medical curriculum. The subject is volatile and of voluminous content, given the complex nature of the human body. Students frequently face learning constraints in these fledgling years of medical education, often resulting in a spiraling dwindling academic performance. Hence, there have been continued efforts directed at developing new curricula and incorporating new methods of teaching, learning and assessment that are aimed at logical learning and long-term retention of anatomical knowledge, which is a mainstay of all medical practice. In recent years, artificial intelligence (AI) has gained in popularity. AI uses machine learning models to store, compute, analyze and even augment huge amounts of data to be retrieved when needed, while simultaneously the machine itself can be programmed for deep learning, improving its own efficiency through complex neural networks. There are numerous specific benefits to incorporating AI in education, which include in-depth learning, storage of large electronic data, teaching from remote locations, engagement of fewer personnel in teaching, quick feedback from responders, innovative assessment methods and user-friendly alternatives. AI has long been a part of medical diagnostics and treatment planning. Extensive literature is available on uses of AI in clinical settings, e.g., in Radiology, but to the best of our knowledge there is a paucity of published data on AI used for teaching, learning and assessment in anatomy. In the present review, we highlight recent novel and advanced AI techniques such as Artificial Neural Networks (ANN), or more complex Convoluted Neural Networks (CNN) and Bayesian U-Net, which are used for teaching anatomy. We also address the main advantages and limitations of the use of AI in medical education and lessons learnt from AI application during the COVID-19 pandemic. In the future, studies with AI in anatomy education could be advantageous for both students to develop professional expertise and for instructors to develop improved teaching methods for this vast and complex subject, especially with the increasing paucity of cadavers in many medical schools. We also suggest some novel examples of how AI could be incorporated to deliver augmented reality experiences, especially with reference to complex regions in the human body, such as neural pathways in the brain, complex developmental processes in the embryo or in complicated miniature regions such as the middle and inner ear. AI can change the face of assessment techniques and broaden their dimensions to suit individual learners.","container-title":"International Journal of Environmental Research and Public Health","DOI":"10.3390/ijerph192114209","ISSN":"1660-4601","issue":"21","language":"en","license":"http://creativecommons.org/licenses/by/3.0/","note":"number: 21\npublisher: Multidisciplinary Digital Publishing Institute","page":"14209","source":"www.mdpi.com","title":"Teaching, Learning and Assessing Anatomy with Artificial Intelligence: The Road to a Better Future","title-short":"Teaching, Learning and Assessing Anatomy with Artificial Intelligence","volume":"19","author":[{"family":"Abdellatif","given":"Hussein"},{"family":"Al Mushaiqri","given":"Mohamed"},{"family":"Albalushi","given":"Halima"},{"family":"Al-Zaabi","given":"Adhari Abdullah"},{"family":"Roychoudhury","given":"Sadhana"},{"family":"Das","given":"Srijit"}],"issued":{"date-parts":[["2022",1]]}}},{"id":2338,"uris":["http://zotero.org/users/10512605/items/2DTI4AZW"],"itemData":{"id":2338,"type":"article-journal","abstract":"Background: The transition to clinical clerkships can be difficult for medical students, as it requires the synthesis and application of preclinical information into diagnostic and therapeutic decisions. ChatGPT—a generative language model with many medical applications due to its creativity, memory, and accuracy—can help students in this transition.\nObjective: This paper models ChatGPT 3.5’s ability to perform interactive clinical simulations and shows this tool’s benefit to medical education.\nMethods: Simulation starting prompts were refined using ChatGPT 3.5 in Google Chrome. Starting prompts were selected based on assessment format, stepwise progression of simulation events and questions, free-response question type, responsiveness to user inputs, postscenario feedback, and medical accuracy of the feedback. The chosen scenarios were advanced cardiac life support and medical intensive care (for sepsis and pneumonia).\nResults: Two starting prompts were chosen. Prompt 1 was developed through 3 test simulations and used successfully in 2 simulations. Prompt 2 was developed through 10 additional test simulations and used successfully in 1 simulation.\nConclusions: ChatGPT is capable of creating simulations for early clinical education. These simulations let students practice novel parts of the clinical curriculum, such as forming independent diagnostic and therapeutic impressions over an entire patient encounter. Furthermore, the simulations can adapt to user inputs in a way that replicates real life more accurately than premade question bank clinical vignettes. Finally, ChatGPT can create potentially unlimited free simulations with specific feedback, which increases access for medical students with lower socioeconomic status and underresourced medical schools. However, no tool is perfect, and ChatGPT is no exception; there are concerns about simulation accuracy and replicability that need to be addressed to further optimize ChatGPT’s performance as an educational resource.","container-title":"JMIR Medical Education","DOI":"10.2196/49877","issue":"1","language":"EN","license":"This is an open-access article distributed under the terms of the Creative Commons Attribution License (https://creativecommons.org/licenses/by/4.0/), which permits unrestricted use, distribution, and reproduction in any medium, provided the original work, first published JMIR Medical Education, is properly cited. The complete bibliographic information, a link to the original publication on https://mededu.jmir.org/, as well as this copyright and license information must be included.","note":"Company: JMIR Medical Education\nDistributor: JMIR Medical Education\nInstitution: JMIR Medical Education\nLabel: JMIR Medical Education\npublisher: JMIR Publications Inc., Toronto, Canada","page":"e49877","source":"mededu.jmir.org","title":"ChatGPT Interactive Medical Simulations for Early Clinical Education: Case Study","title-short":"ChatGPT Interactive Medical Simulations for Early Clinical Education","volume":"9","author":[{"family":"Scherr","given":"Riley"},{"family":"Halaseh","given":"Faris F."},{"family":"Spina","given":"Aidin"},{"family":"Andalib","given":"Saman"},{"family":"Rivera","given":"Ronald"}],"issued":{"date-parts":[["2023",11,10]]}}},{"id":2349,"uris":["http://zotero.org/users/10512605/items/YAZQY6U9"],"itemData":{"id":2349,"type":"article-journal","abstract":"ChatGPT, a generative pretrained transformer, has garnered global attention and sparked discussions since its introduction on November 30, 2022. However, it has generated controversy within the realms of medical education and scientific research. This paper examines the potential applications, limitations, and strategies for using ChatGPT. ChatGPT offers personalized learning support to medical students through its robust natural language generation capabilities, enabling it to furnish answers. Moreover, it has demonstrated significant use in simulating clinical scenarios, facilitating teaching and learning processes, and revitalizing medical education. Nonetheless, numerous challenges accompany these advancements. In the context of education, it is of paramount importance to prevent excessive reliance on ChatGPT and combat academic plagiarism. Likewise, in the field of medicine, it is vital to guarantee the timeliness, accuracy, and reliability of content generated by ChatGPT. Concurrently, ethical challenges and concerns regarding information security arise. In light of these challenges, this paper proposes targeted strategies for addressing them. First, the risk of overreliance on ChatGPT and academic plagiarism must be mitigated through ideological education, fostering comprehensive competencies, and implementing diverse evaluation criteria. The integration of contemporary pedagogical methodologies in conjunction with the use of ChatGPT serves to enhance the overall quality of medical education. To enhance the professionalism and reliability of the generated content, it is recommended to implement measures to optimize ChatGPT’s training data professionally and enhance the transparency of the generation process. This ensures that the generated content is aligned with the most recent standards of medical practice. Moreover, the enhancement of value alignment and the establishment of pertinent legislation or codes of practice address ethical concerns, including those pertaining to algorithmic discrimination, the allocation of medical responsibility, privacy, and security. In conclusion, while ChatGPT presents significant potential in medical education, it also encounters various challenges. Through comprehensive research and the implementation of suitable strategies, it is anticipated that ChatGPT’s positive impact on medical education will be harnessed, laying the groundwork for advancing the discipline and fostering the development of high-caliber medical professionals.","container-title":"Journal of Medical Internet Research","DOI":"10.2196/57896","issue":"1","language":"EN","note":"Company: Journal of Medical Internet Research\nDistributor: Journal of Medical Internet Research\nInstitution: Journal of Medical Internet Research\nLabel: Journal of Medical Internet Research\npublisher: JMIR Publications Inc., Toronto, Canada","page":"e57896","source":"www.jmir.org","title":"Current Status of ChatGPT Use in Medical Education: Potentials, Challenges, and Strategies","title-short":"Current Status of ChatGPT Use in Medical Education","volume":"26","author":[{"family":"Xu","given":"Tianhui"},{"family":"Weng","given":"Huiting"},{"family":"Liu","given":"Fang"},{"family":"Yang","given":"Li"},{"family":"Luo","given":"Yuanyuan"},{"family":"Ding","given":"Ziwei"},{"family":"Wang","given":"Qin"}],"issued":{"date-parts":[["2024",8,28]]}}}],"schema":"https://github.com/citation-style-language/schema/raw/master/csl-citation.json"} </w:instrText>
            </w:r>
            <w:r w:rsidRPr="00E042E6">
              <w:rPr>
                <w:rFonts w:ascii="Times New Roman" w:hAnsi="Times New Roman" w:cs="Times New Roman"/>
                <w:sz w:val="20"/>
                <w:szCs w:val="20"/>
                <w:lang w:val="en-US"/>
              </w:rPr>
              <w:fldChar w:fldCharType="separate"/>
            </w:r>
            <w:proofErr w:type="spellStart"/>
            <w:r w:rsidRPr="00E042E6">
              <w:rPr>
                <w:rFonts w:ascii="Times New Roman" w:hAnsi="Times New Roman" w:cs="Times New Roman"/>
                <w:sz w:val="20"/>
                <w:szCs w:val="20"/>
              </w:rPr>
              <w:t>Abdellatif</w:t>
            </w:r>
            <w:proofErr w:type="spellEnd"/>
            <w:r w:rsidRPr="00E042E6">
              <w:rPr>
                <w:rFonts w:ascii="Times New Roman" w:hAnsi="Times New Roman" w:cs="Times New Roman"/>
                <w:sz w:val="20"/>
                <w:szCs w:val="20"/>
              </w:rPr>
              <w:t xml:space="preserve"> et al., 2022; </w:t>
            </w:r>
            <w:proofErr w:type="spellStart"/>
            <w:r w:rsidRPr="00E042E6">
              <w:rPr>
                <w:rFonts w:ascii="Times New Roman" w:hAnsi="Times New Roman" w:cs="Times New Roman"/>
                <w:sz w:val="20"/>
                <w:szCs w:val="20"/>
              </w:rPr>
              <w:t>Scherr</w:t>
            </w:r>
            <w:proofErr w:type="spellEnd"/>
            <w:r w:rsidRPr="00E042E6">
              <w:rPr>
                <w:rFonts w:ascii="Times New Roman" w:hAnsi="Times New Roman" w:cs="Times New Roman"/>
                <w:sz w:val="20"/>
                <w:szCs w:val="20"/>
              </w:rPr>
              <w:t xml:space="preserve"> et al., 2023; </w:t>
            </w:r>
          </w:p>
          <w:p w14:paraId="7E7610DE" w14:textId="77777777" w:rsidR="00896C84" w:rsidRPr="00E042E6" w:rsidRDefault="00896C84" w:rsidP="00867DE1">
            <w:pPr>
              <w:spacing w:line="360" w:lineRule="auto"/>
              <w:jc w:val="both"/>
              <w:rPr>
                <w:rFonts w:ascii="Times New Roman" w:hAnsi="Times New Roman" w:cs="Times New Roman"/>
                <w:sz w:val="20"/>
                <w:szCs w:val="20"/>
                <w:lang w:val="en-US"/>
              </w:rPr>
            </w:pPr>
            <w:proofErr w:type="spellStart"/>
            <w:r w:rsidRPr="00E042E6">
              <w:rPr>
                <w:rFonts w:ascii="Times New Roman" w:hAnsi="Times New Roman" w:cs="Times New Roman"/>
                <w:sz w:val="20"/>
                <w:szCs w:val="20"/>
              </w:rPr>
              <w:t>Xu</w:t>
            </w:r>
            <w:proofErr w:type="spellEnd"/>
            <w:r w:rsidRPr="00E042E6">
              <w:rPr>
                <w:rFonts w:ascii="Times New Roman" w:hAnsi="Times New Roman" w:cs="Times New Roman"/>
                <w:sz w:val="20"/>
                <w:szCs w:val="20"/>
              </w:rPr>
              <w:t xml:space="preserve"> et al., 2024;</w:t>
            </w:r>
            <w:r w:rsidRPr="00E042E6">
              <w:rPr>
                <w:rFonts w:ascii="Times New Roman" w:hAnsi="Times New Roman" w:cs="Times New Roman"/>
                <w:sz w:val="20"/>
                <w:szCs w:val="20"/>
                <w:lang w:val="en-US"/>
              </w:rPr>
              <w:fldChar w:fldCharType="end"/>
            </w:r>
          </w:p>
          <w:p w14:paraId="12722065" w14:textId="77777777" w:rsidR="00896C84" w:rsidRPr="00E042E6" w:rsidRDefault="00896C84" w:rsidP="00867DE1">
            <w:pPr>
              <w:spacing w:line="360" w:lineRule="auto"/>
              <w:jc w:val="both"/>
              <w:rPr>
                <w:rFonts w:ascii="Times New Roman" w:hAnsi="Times New Roman" w:cs="Times New Roman"/>
                <w:sz w:val="20"/>
                <w:szCs w:val="20"/>
                <w:lang w:val="en-US"/>
              </w:rPr>
            </w:pPr>
            <w:r w:rsidRPr="00E042E6">
              <w:rPr>
                <w:rFonts w:ascii="Times New Roman" w:hAnsi="Times New Roman" w:cs="Times New Roman"/>
                <w:sz w:val="20"/>
                <w:szCs w:val="20"/>
                <w:lang w:val="en-US"/>
              </w:rPr>
              <w:fldChar w:fldCharType="begin"/>
            </w:r>
            <w:r w:rsidRPr="00E042E6">
              <w:rPr>
                <w:rFonts w:ascii="Times New Roman" w:hAnsi="Times New Roman" w:cs="Times New Roman"/>
                <w:sz w:val="20"/>
                <w:szCs w:val="20"/>
                <w:lang w:val="en-US"/>
              </w:rPr>
              <w:instrText xml:space="preserve"> ADDIN ZOTERO_ITEM CSL_CITATION {"citationID":"yyitidiY","properties":{"formattedCitation":"(Apostolakis et al., 2022; Langer &amp; Landers, 2021; Munir et al., 2022)","plainCitation":"(Apostolakis et al., 2022; Langer &amp; Landers, 2021; Munir et al., 2022)","dontUpdate":true,"noteIndex":0},"citationItems":[{"id":2330,"uris":["http://zotero.org/users/10512605/items/ZXQA7L2L"],"itemData":{"id":2330,"type":"article-journal","abstract":"Background: Augmented reality (AR) and artificial intelligence (AI) are highly disruptive technologies that have revolutionised practices in a wide range of domains, including the security sector. Several law enforcement agencies (LEAs) employ AI in ...","container-title":"Open Research Europe","DOI":"10.12688/openreseurope.13715.2","language":"en","note":"PMID: 37645167","page":"87","source":"pmc.ncbi.nlm.nih.gov","title":"DARLENE – Improving situational awareness of European law enforcement agents through a combination of augmented reality and artificial intelligence solutions","volume":"1","author":[{"family":"Apostolakis","given":"Konstantinos C."},{"family":"Dimitriou","given":"Nikolaos"},{"family":"Margetis","given":"George"},{"family":"Ntoa","given":"Stavroula"},{"family":"Tzovaras","given":"Dimitrios"},{"family":"Stephanidis","given":"Constantine"}],"issued":{"date-parts":[["2022",1,21]]}}},{"id":2335,"uris":["http://zotero.org/users/10512605/items/4D3EYADF"],"itemData":{"id":2335,"type":"article-journal","abstract":"Advances in artificial intelligence are increasingly leading to the automation and augmentation of decision processes in work contexts. Although research originally generally focused upon decision-makers, the perspective of those targeted by automated or augmented decisions (whom we call “second parties”) and parties who observe the effects of such decisions (whom we call “third parties”) is now growing in importance and attention. We review the expanding literature investigating reactions to automated and augmented decision-making by second and third parties. Specifically, we explore attitude (e.g., evaluations of trustworthiness), perception (e.g., fairness perceptions), and behavior (e.g., reverse engineering of automated decision processes) outcomes of second and third parties. Additionally, we explore how characteristics of the a) decision-making process, b) system, c) second and third party, d) task, and e) outputs and outcomes moderate these effects, and provide recommendation for future research. Our review summarizes the state of the literature in these domains, concluding a) that reactions to automated decisions differ across situations in which there is remaining human decision control (i.e., augmentation contexts), b) that system design choices (e.g., transparency) are important but underresearched, and c) that the generalizability of findings might suffer from excessive reliance on specific research methodologies (e.g., vignette studies).","container-title":"Computers in Human Behavior","DOI":"10.1016/j.chb.2021.106878","ISSN":"0747-5632","journalAbbreviation":"Computers in Human Behavior","page":"106878","source":"ScienceDirect","title":"The future of artificial intelligence at work: A review on effects of decision automation and augmentation on workers targeted by algorithms and third-party observers","title-short":"The future of artificial intelligence at work","volume":"123","author":[{"family":"Langer","given":"Markus"},{"family":"Landers","given":"Richard N."}],"issued":{"date-parts":[["2021",10,1]]}}},{"id":2327,"uris":["http://zotero.org/users/10512605/items/9NAGA74X"],"itemData":{"id":2327,"type":"article-journal","abstract":"Situational awareness (SA) is defined as the perception of entities in the environment, comprehension of their meaning, and projection of their status in near future. From an Air Force perspective, SA refers to the capability to comprehend and project the current and future disposition of red and blue aircraft and surface threats within an airspace. In this article, we propose a model for SA and dynamic decision-making that incorporates artificial intelligence and dynamic data-driven application systems to adapt measurements and resources in accordance with changing situations. We discuss measurement of SA and the challenges associated with quantification of SA. We then elaborate a plethora of techniques and technologies that help improve SA ranging from different modes of intelligence gathering to artificial intelligence to automated vision systems. We then present different application domains of SA including battlefield, gray zone warfare, military- and air-base, homeland security and defense, and critical infrastructure. Finally, we conclude the article with insights into the future of SA.","container-title":"AI","DOI":"10.3390/ai3010005","ISSN":"2673-2688","issue":"1","language":"en","license":"http://creativecommons.org/licenses/by/3.0/","note":"number: 1\npublisher: Multidisciplinary Digital Publishing Institute","page":"55-77","source":"www.mdpi.com","title":"Situational Awareness: Techniques, Challenges, and Prospects","title-short":"Situational Awareness","volume":"3","author":[{"family":"Munir","given":"Arslan"},{"family":"Aved","given":"Alexander"},{"family":"Blasch","given":"Erik"}],"issued":{"date-parts":[["2022",3]]}}}],"schema":"https://github.com/citation-style-language/schema/raw/master/csl-citation.json"} </w:instrText>
            </w:r>
            <w:r w:rsidRPr="00E042E6">
              <w:rPr>
                <w:rFonts w:ascii="Times New Roman" w:hAnsi="Times New Roman" w:cs="Times New Roman"/>
                <w:sz w:val="20"/>
                <w:szCs w:val="20"/>
                <w:lang w:val="en-US"/>
              </w:rPr>
              <w:fldChar w:fldCharType="separate"/>
            </w:r>
            <w:r w:rsidRPr="00E042E6">
              <w:rPr>
                <w:rFonts w:ascii="Times New Roman" w:hAnsi="Times New Roman" w:cs="Times New Roman"/>
                <w:sz w:val="20"/>
                <w:szCs w:val="20"/>
                <w:lang w:val="en-US"/>
              </w:rPr>
              <w:t>Apostolakis et al., 2022; Langer &amp; Landers, 2021; Munir et al., 2022</w:t>
            </w:r>
            <w:r w:rsidRPr="00E042E6">
              <w:rPr>
                <w:rFonts w:ascii="Times New Roman" w:hAnsi="Times New Roman" w:cs="Times New Roman"/>
                <w:sz w:val="20"/>
                <w:szCs w:val="20"/>
                <w:lang w:val="en-US"/>
              </w:rPr>
              <w:fldChar w:fldCharType="end"/>
            </w:r>
          </w:p>
        </w:tc>
      </w:tr>
      <w:tr w:rsidR="00896C84" w:rsidRPr="00E042E6" w14:paraId="0B3DEF9B" w14:textId="77777777" w:rsidTr="00867DE1">
        <w:trPr>
          <w:tblCellSpacing w:w="15" w:type="dxa"/>
        </w:trPr>
        <w:tc>
          <w:tcPr>
            <w:tcW w:w="0" w:type="auto"/>
            <w:vAlign w:val="center"/>
            <w:hideMark/>
          </w:tcPr>
          <w:p w14:paraId="31D07112" w14:textId="77777777" w:rsidR="00896C84" w:rsidRPr="00E042E6" w:rsidRDefault="00896C84" w:rsidP="00867DE1">
            <w:pPr>
              <w:spacing w:line="360" w:lineRule="auto"/>
              <w:jc w:val="both"/>
              <w:rPr>
                <w:rFonts w:ascii="Times New Roman" w:hAnsi="Times New Roman" w:cs="Times New Roman"/>
                <w:sz w:val="20"/>
                <w:szCs w:val="20"/>
                <w:lang w:val="en-US"/>
              </w:rPr>
            </w:pPr>
            <w:r w:rsidRPr="00E042E6">
              <w:rPr>
                <w:rFonts w:ascii="Times New Roman" w:hAnsi="Times New Roman" w:cs="Times New Roman"/>
                <w:b/>
                <w:bCs/>
                <w:sz w:val="20"/>
                <w:szCs w:val="20"/>
                <w:lang w:val="en-US"/>
              </w:rPr>
              <w:t>Ethical and Psychological Impact</w:t>
            </w:r>
          </w:p>
        </w:tc>
        <w:tc>
          <w:tcPr>
            <w:tcW w:w="0" w:type="auto"/>
            <w:vAlign w:val="center"/>
            <w:hideMark/>
          </w:tcPr>
          <w:p w14:paraId="248E9CFA" w14:textId="77777777" w:rsidR="00896C84" w:rsidRPr="00E042E6" w:rsidRDefault="00896C84" w:rsidP="00867DE1">
            <w:pPr>
              <w:spacing w:line="360" w:lineRule="auto"/>
              <w:jc w:val="both"/>
              <w:rPr>
                <w:rFonts w:ascii="Times New Roman" w:hAnsi="Times New Roman" w:cs="Times New Roman"/>
                <w:sz w:val="20"/>
                <w:szCs w:val="20"/>
                <w:lang w:val="en-US"/>
              </w:rPr>
            </w:pPr>
            <w:r w:rsidRPr="00E042E6">
              <w:rPr>
                <w:rFonts w:ascii="Times New Roman" w:hAnsi="Times New Roman" w:cs="Times New Roman"/>
                <w:b/>
                <w:bCs/>
                <w:sz w:val="20"/>
                <w:szCs w:val="20"/>
                <w:lang w:val="en-US"/>
              </w:rPr>
              <w:t>Mental Health and Simulation Fatigue</w:t>
            </w:r>
          </w:p>
        </w:tc>
        <w:tc>
          <w:tcPr>
            <w:tcW w:w="0" w:type="auto"/>
            <w:vAlign w:val="center"/>
            <w:hideMark/>
          </w:tcPr>
          <w:p w14:paraId="0E28E9B5" w14:textId="77777777" w:rsidR="00896C84" w:rsidRPr="00E042E6" w:rsidRDefault="00896C84" w:rsidP="00867DE1">
            <w:pPr>
              <w:spacing w:line="360" w:lineRule="auto"/>
              <w:jc w:val="both"/>
              <w:rPr>
                <w:rFonts w:ascii="Times New Roman" w:hAnsi="Times New Roman" w:cs="Times New Roman"/>
                <w:sz w:val="20"/>
                <w:szCs w:val="20"/>
                <w:lang w:val="en-US"/>
              </w:rPr>
            </w:pPr>
            <w:r w:rsidRPr="00E042E6">
              <w:rPr>
                <w:rFonts w:ascii="Times New Roman" w:hAnsi="Times New Roman" w:cs="Times New Roman"/>
                <w:sz w:val="20"/>
                <w:szCs w:val="20"/>
                <w:lang w:val="en-US"/>
              </w:rPr>
              <w:t>Understanding the psychological effects of repeated high-stress scenarios in VR on students’ well-being.</w:t>
            </w:r>
          </w:p>
        </w:tc>
        <w:tc>
          <w:tcPr>
            <w:tcW w:w="0" w:type="auto"/>
            <w:vAlign w:val="center"/>
            <w:hideMark/>
          </w:tcPr>
          <w:p w14:paraId="529A71C9" w14:textId="77777777" w:rsidR="00896C84" w:rsidRPr="00E042E6" w:rsidRDefault="00896C84" w:rsidP="00867DE1">
            <w:pPr>
              <w:spacing w:line="360" w:lineRule="auto"/>
              <w:jc w:val="both"/>
              <w:rPr>
                <w:rFonts w:ascii="Times New Roman" w:hAnsi="Times New Roman" w:cs="Times New Roman"/>
                <w:sz w:val="20"/>
                <w:szCs w:val="20"/>
                <w:lang w:val="en-US"/>
              </w:rPr>
            </w:pPr>
            <w:r w:rsidRPr="00E042E6">
              <w:rPr>
                <w:rFonts w:ascii="Times New Roman" w:hAnsi="Times New Roman" w:cs="Times New Roman"/>
                <w:sz w:val="20"/>
                <w:szCs w:val="20"/>
                <w:lang w:val="en-US"/>
              </w:rPr>
              <w:fldChar w:fldCharType="begin"/>
            </w:r>
            <w:r w:rsidRPr="00E042E6">
              <w:rPr>
                <w:rFonts w:ascii="Times New Roman" w:hAnsi="Times New Roman" w:cs="Times New Roman"/>
                <w:sz w:val="20"/>
                <w:szCs w:val="20"/>
                <w:lang w:val="en-US"/>
              </w:rPr>
              <w:instrText xml:space="preserve"> ADDIN ZOTERO_ITEM CSL_CITATION {"citationID":"zcsx9EAw","properties":{"formattedCitation":"(Amugongo et al., 2023; Andersson et al., 2022; Steele et al., 2020)","plainCitation":"(Amugongo et al., 2023; Andersson et al., 2022; Steele et al., 2020)","dontUpdate":true,"noteIndex":0},"citationItems":[{"id":2359,"uris":["http://zotero.org/users/10512605/items/AV8G3BRL"],"itemData":{"id":2359,"type":"article-journal","abstract":"Although numerous ethical principles and guidelines have been proposed to guide the development of artificial intelligence (AI) systems, it has proven difficult to translate these principles into actionable practices beyond mere adherence to ethical ideas. This is particularly challenging in the context of AI systems for healthcare, which requires balancing the potential benefits of the solution against the risks to patients and the wider community, including minorities and underserved populations. To address this challenge, we propose a shift from one-size-fits-all ethical principles to contextualized case-based ethical frameworks. This study uses an AI-enabled mHealth application as a case study. Our framework is built on existing ethical guidelines and principles, including the AI4People framework, the EU High-Level Expert Group on trustworthy AI, and wider human rights considerations. Additionally, we incorporate relational perspectives to address human value concerns and moral tensions between individual rights and public health. Our approach is based on ”ethics by design,” where ethical principles are integrated throughout the entire AI development pipeline, ensuring that ethical considerations are not an afterthought but implemented from the beginning. For our case study, we identified 7 ethical principles: fairness, agility, precision, safeguarding humanity, respect for others, trust and accountability, and robustness and reproducibility. We believe that the best way to mitigate and address ethical consequences is by implementing ethical principles in the software development processes that developers commonly use. Finally, we provide examples of how our case-based framework can be applied in practice, using examples of AI-driven mobile applications in healthcare.","container-title":"AI and Ethics","DOI":"10.1007/s43681-023-00331-3","ISSN":"2730-5961","journalAbbreviation":"AI Ethics","language":"en","source":"Springer Link","title":"Operationalising AI ethics through the agile software development lifecycle: a case study of AI-enabled mobile health applications","title-short":"Operationalising AI ethics through the agile software development lifecycle","URL":"https://doi.org/10.1007/s43681-023-00331-3","author":[{"family":"Amugongo","given":"Lameck Mbangula"},{"family":"Kriebitz","given":"Alexander"},{"family":"Boch","given":"Auxane"},{"family":"Lütge","given":"Christoph"}],"accessed":{"date-parts":[["2024",11,3]]},"issued":{"date-parts":[["2023",8,15]]}}},{"id":2353,"uris":["http://zotero.org/users/10512605/items/5MC3F7KR"],"itemData":{"id":2353,"type":"article-journal","abstract":"Ethical problems in everyday healthcare work emerge for many reasons and constitute threats to ethical values. If these threats are not managed appropriately, there is a risk that the patient may be inflicted with moral harm or injury, while healthcare professionals are at risk of feeling moral distress. Therefore, it is essential to support the learning and development of ethical competencies among healthcare professionals and students. The aim of this study was to explore the available literature regarding ethics education that promotes ethical competence learning for healthcare professionals and students undergoing training in healthcare professions.","container-title":"BMC Medical Ethics","DOI":"10.1186/s12910-022-00766-z","ISSN":"1472-6939","issue":"1","journalAbbreviation":"BMC Med Ethics","language":"en","page":"29","source":"Springer Link","title":"Ethics education to support ethical competence learning in healthcare: an integrative systematic review","title-short":"Ethics education to support ethical competence learning in healthcare","volume":"23","author":[{"family":"Andersson","given":"Henrik"},{"family":"Svensson","given":"Anders"},{"family":"Frank","given":"Catharina"},{"family":"Rantala","given":"Andreas"},{"family":"Holmberg","given":"Mats"},{"family":"Bremer","given":"Anders"}],"issued":{"date-parts":[["2022",3,19]]}}},{"id":2356,"uris":["http://zotero.org/users/10512605/items/YIDDVLUS"],"itemData":{"id":2356,"type":"article-journal","abstract":"Developers and designers of virtual and augmented reality (VR/AR) products are expressing concerns regarding accountability for ethical design and use of VR/AR products in virtual learning environments. Within the field of education, more research is needed to determine how VR/AR designers make decisions regarding ethical issues, and particularly when integrating media into learning content. The purpose of the qualitative inquiry study was to interview designers/developers of VR/AR products regarding their perceptions of ethics in design and use of VR/AR products designed for educational purposes. Data collection was achieved through a sample of self-described instructional designers and developers from the Association for Educational Communications and Technology membership. Through qualitative inquiry with one-on-one interviews, designers shared their stories about their perceptions of ethics in the design and development of VR/AR products for educational purposes.","container-title":"Journal of Educational Technology Systems","DOI":"10.1177/0047239520933858","ISSN":"0047-2395","issue":"2","language":"en","note":"publisher: SAGE Publications Inc","page":"219-238","source":"SAGE Journals","title":"Ethical Considerations in Designing Virtual and Augmented Reality Products—Virtual and Augmented Reality Design With Students in Mind: Designers’ Perceptions","title-short":"Ethical Considerations in Designing Virtual and Augmented Reality Products—Virtual and Augmented Reality Design With Students in Mind","volume":"49","author":[{"family":"Steele","given":"Patricia"},{"family":"Burleigh","given":"Cheryl"},{"family":"Kroposki","given":"Margaret"},{"family":"Magabo","given":"Myrene"},{"family":"Bailey","given":"Liston"}],"issued":{"date-parts":[["2020",12,1]]}}}],"schema":"https://github.com/citation-style-language/schema/raw/master/csl-citation.json"} </w:instrText>
            </w:r>
            <w:r w:rsidRPr="00E042E6">
              <w:rPr>
                <w:rFonts w:ascii="Times New Roman" w:hAnsi="Times New Roman" w:cs="Times New Roman"/>
                <w:sz w:val="20"/>
                <w:szCs w:val="20"/>
                <w:lang w:val="en-US"/>
              </w:rPr>
              <w:fldChar w:fldCharType="separate"/>
            </w:r>
            <w:proofErr w:type="spellStart"/>
            <w:r w:rsidRPr="00E042E6">
              <w:rPr>
                <w:rFonts w:ascii="Times New Roman" w:hAnsi="Times New Roman" w:cs="Times New Roman"/>
                <w:sz w:val="20"/>
                <w:szCs w:val="20"/>
              </w:rPr>
              <w:t>Amugongo</w:t>
            </w:r>
            <w:proofErr w:type="spellEnd"/>
            <w:r w:rsidRPr="00E042E6">
              <w:rPr>
                <w:rFonts w:ascii="Times New Roman" w:hAnsi="Times New Roman" w:cs="Times New Roman"/>
                <w:sz w:val="20"/>
                <w:szCs w:val="20"/>
              </w:rPr>
              <w:t xml:space="preserve"> et al., 2023; Andersson et al., 2022; Steele et al., 2020</w:t>
            </w:r>
            <w:r w:rsidRPr="00E042E6">
              <w:rPr>
                <w:rFonts w:ascii="Times New Roman" w:hAnsi="Times New Roman" w:cs="Times New Roman"/>
                <w:sz w:val="20"/>
                <w:szCs w:val="20"/>
                <w:lang w:val="en-US"/>
              </w:rPr>
              <w:fldChar w:fldCharType="end"/>
            </w:r>
            <w:r w:rsidRPr="00E042E6">
              <w:rPr>
                <w:rFonts w:ascii="Times New Roman" w:hAnsi="Times New Roman" w:cs="Times New Roman"/>
                <w:sz w:val="20"/>
                <w:szCs w:val="20"/>
              </w:rPr>
              <w:t xml:space="preserve">. </w:t>
            </w:r>
            <w:r w:rsidRPr="00E042E6">
              <w:rPr>
                <w:rFonts w:ascii="Times New Roman" w:hAnsi="Times New Roman" w:cs="Times New Roman"/>
                <w:sz w:val="20"/>
                <w:szCs w:val="20"/>
                <w:lang w:val="en-US"/>
              </w:rPr>
              <w:fldChar w:fldCharType="begin"/>
            </w:r>
            <w:r w:rsidRPr="00E042E6">
              <w:rPr>
                <w:rFonts w:ascii="Times New Roman" w:hAnsi="Times New Roman" w:cs="Times New Roman"/>
                <w:sz w:val="20"/>
                <w:szCs w:val="20"/>
              </w:rPr>
              <w:instrText xml:space="preserve"> ADDIN ZOTERO_ITEM CSL_CITATION {"citationID":"fjGFjdol","properties":{"formattedCitation":"(Elendu et al., 2024; Gagne &amp; C, 2023)","plainCitation":"(Elendu et al., 2024; Gagne &amp; C, 2023)","dontUpdate":true,"noteIndex":0},"citationItems":[{"id":2156,"uris":["http://zotero.org/users/10512605/items/TDSZYG7Y"],"itemData":{"id":2156,"type":"article-journal","abstract":"Simulation-based training (SBT) has emerged as a transformative approach in medical education, significantly enhancing healthcare professionals’ learning experience and clinical competency. This article explores the impact of SBT, tracing its historical development and examining the various types of simulations utilized today, including high-fidelity mannequins, virtual reality environments, standardized patients, and hybrid simulations. These methods offer a safe and controlled environment for students to practice and hone technical and non-technical skills, ultimately improving patient safety and clinical outcomes. The benefits of SBT are manifold, including enhanced skill acquisition, error reduction, and the opportunity for repeated practice without risk to actual patients. Immediate feedback and structured debriefing further solidify learning, making Simulation an invaluable tool in medical education. However, the implementation of SBT is challenging. It requires substantial financial investment, specialized equipment, and trained faculty. Additionally, there are concerns about the realism of simulations and the transferability of skills to real-world clinical settings. Despite these challenges, numerous case studies and empirical research underscore the effectiveness of SBT compared to traditional methods. Looking ahead, advancements in technology, such as artificial intelligence and improved virtual reality applications, promise to enhance the efficacy and accessibility of simulation training. The integration of Simulation with other training modalities and its adoption in diverse global contexts highlight its potential to revolutionize medical education worldwide. This article affirms the crucial role of SBT in preparing the next generation of healthcare professionals and its ongoing evolution driven by technological innovations.","container-title":"Medicine","DOI":"10.1097/MD.0000000000038813","issue":"27","language":"en-US","page":"e38813","source":"journals.lww.com","title":"The impact of simulation-based training in medical education: A review","title-short":"The impact of simulation-based training in medical education","volume":"103","author":[{"family":"Elendu","given":"Chukwuka"},{"family":"Amaechi","given":"Dependable C."},{"family":"Okatta","given":"Alexander U."},{"family":"Amaechi","given":"Emmanuel C."},{"family":"Elendu","given":"Tochi C."},{"family":"Ezeh","given":"Chiamaka P."},{"family":"Elendu","given":"Ijeoma D."}],"issued":{"date-parts":[["2024",7,5]]}}},{"id":2362,"uris":["http://zotero.org/users/10512605/items/54DQUJ22"],"itemData":{"id":2362,"type":"article-journal","abstract":"Artificial intelligence (AI) is rapidly revolutionizing health care and education globally, including nursing practice and education. The responsible utilization of AI in a nursing context requires thoughtful consideration of its alignment with nursing values such as compassionate and patient-centered care provision, and respect for diverse perspectives. Values clarification, a vital teaching strategy in nursing education, can reinforce the foundational values and beliefs that guide nursing practice, thereby facilitating nurses’ critical evaluation of the ethical implications of AI implementation. The early introduction of values clarification into nursing education (a) provides students with a framework to prioritize and reflect on the impact of nursing values on their practice, (b) enables educators to make informed decisions and enhance teaching strategies, (c) contributes to the continual improvement of nursing education programs, and (d) fosters an ethical and values-driven approach to the integration of AI into nursing education and practice. This article examines the integration of values clarification into nursing education, offers strategies for nurse educators to integrate AI into their teaching toolkit effectively and ethically, and addresses concerns regarding potential misuses of AI.","container-title":"International Journal of Environmental Research and Public Health","DOI":"10.3390/ijerph20146409","ISSN":"1660-4601","issue":"14","language":"en","license":"http://creativecommons.org/licenses/by/3.0/","note":"number: 14\npublisher: Multidisciplinary Digital Publishing Institute","page":"6409","source":"www.mdpi.com","title":"Values Clarification Exercises to Prepare Nursing Students for Artificial Intelligence Integration","volume":"20","author":[{"family":"Gagne","given":"De"},{"family":"C","given":"Jennie"}],"issued":{"date-parts":[["2023",1]]}}}],"schema":"https://github.com/citation-style-language/schema/raw/master/csl-citation.json"} </w:instrText>
            </w:r>
            <w:r w:rsidRPr="00E042E6">
              <w:rPr>
                <w:rFonts w:ascii="Times New Roman" w:hAnsi="Times New Roman" w:cs="Times New Roman"/>
                <w:sz w:val="20"/>
                <w:szCs w:val="20"/>
                <w:lang w:val="en-US"/>
              </w:rPr>
              <w:fldChar w:fldCharType="separate"/>
            </w:r>
            <w:proofErr w:type="spellStart"/>
            <w:r w:rsidRPr="00E042E6">
              <w:rPr>
                <w:rFonts w:ascii="Times New Roman" w:hAnsi="Times New Roman" w:cs="Times New Roman"/>
                <w:sz w:val="20"/>
                <w:szCs w:val="20"/>
                <w:lang w:val="en-US"/>
              </w:rPr>
              <w:t>Elendu</w:t>
            </w:r>
            <w:proofErr w:type="spellEnd"/>
            <w:r w:rsidRPr="00E042E6">
              <w:rPr>
                <w:rFonts w:ascii="Times New Roman" w:hAnsi="Times New Roman" w:cs="Times New Roman"/>
                <w:sz w:val="20"/>
                <w:szCs w:val="20"/>
                <w:lang w:val="en-US"/>
              </w:rPr>
              <w:t xml:space="preserve"> et al., 2024; Gagne &amp; C, 2023</w:t>
            </w:r>
            <w:r w:rsidRPr="00E042E6">
              <w:rPr>
                <w:rFonts w:ascii="Times New Roman" w:hAnsi="Times New Roman" w:cs="Times New Roman"/>
                <w:sz w:val="20"/>
                <w:szCs w:val="20"/>
                <w:lang w:val="en-US"/>
              </w:rPr>
              <w:fldChar w:fldCharType="end"/>
            </w:r>
          </w:p>
          <w:p w14:paraId="0A0C0C3B" w14:textId="6AE11603" w:rsidR="00896C84" w:rsidRPr="00E042E6" w:rsidRDefault="00896C84" w:rsidP="00867DE1">
            <w:pPr>
              <w:spacing w:line="360" w:lineRule="auto"/>
              <w:jc w:val="both"/>
              <w:rPr>
                <w:rFonts w:ascii="Times New Roman" w:hAnsi="Times New Roman" w:cs="Times New Roman"/>
                <w:sz w:val="20"/>
                <w:szCs w:val="20"/>
              </w:rPr>
            </w:pPr>
            <w:r w:rsidRPr="00E042E6">
              <w:rPr>
                <w:rFonts w:ascii="Times New Roman" w:hAnsi="Times New Roman" w:cs="Times New Roman"/>
                <w:sz w:val="20"/>
                <w:szCs w:val="20"/>
                <w:lang w:val="en-US"/>
              </w:rPr>
              <w:fldChar w:fldCharType="begin"/>
            </w:r>
            <w:r w:rsidRPr="00E042E6">
              <w:rPr>
                <w:rFonts w:ascii="Times New Roman" w:hAnsi="Times New Roman" w:cs="Times New Roman"/>
                <w:sz w:val="20"/>
                <w:szCs w:val="20"/>
                <w:lang w:val="en-US"/>
              </w:rPr>
              <w:instrText xml:space="preserve"> ADDIN ZOTERO_ITEM CSL_CITATION {"citationID":"EHoTomjA","properties":{"formattedCitation":"(Dai &amp; Ke, 2022; Hooda et al., 2022; Ouyang et al., 2023)","plainCitation":"(Dai &amp; Ke, 2022; Hooda et al., 2022; Ouyang et al., 2023)","dontUpdate":true,"noteIndex":0},"citationItems":[{"id":2368,"uris":["http://zotero.org/users/10512605/items/3DHWWXSJ"],"itemData":{"id":2368,"type":"article-journal","abstract":"The field of education has experienced a transformation as artificial intelligence (AI) becomes increasingly applicable for learning purposes. AI has the potential to transform the social interactions in educational contexts among learners, teachers, and technologies. In this systematic mapping review, we focus on mapping and framing trends for educational applications of AI in simulation-based learning. Fifty-nine studies met the inclusion and exclusion criteria. We coded and analyzed six mapped categories in this literature review: (1) the year-of-study trend, (2) methods, (3) AI technologies, (4) simulation, (5) study trends, and (6) learning principles and theories. To provide nuanced details from the included literature, we also synthesized three thematic trends: (1) AI built in virtual agents for simulation-based learning, (2) AI infused in simulation-based learning with affective computing, and (3) AI leveraged in simulation-based learning for assessments. Trend One builds on a general acknowledgement of virtual agents as a guide for situated learning. Trend Two posits the role of affective states in learning trajectories and suggests the related machine learning approaches. Trend Three discusses machine learning techniques and multimodal computing used for assessment and feedback. The paper concludes with implications and suggestions for research and practice in AI in education using simulation-based learning.","container-title":"Computers and Education: Artificial Intelligence","DOI":"10.1016/j.caeai.2022.100087","ISSN":"2666-920X","journalAbbreviation":"Computers and Education: Artificial Intelligence","page":"100087","source":"ScienceDirect","title":"Educational applications of artificial intelligence in simulation-based learning: A systematic mapping review","title-short":"Educational applications of artificial intelligence in simulation-based learning","volume":"3","author":[{"family":"Dai","given":"Chih-Pu"},{"family":"Ke","given":"Fengfeng"}],"issued":{"date-parts":[["2022",1,1]]}}},{"id":2371,"uris":["http://zotero.org/users/10512605/items/HFTAHLYV"],"itemData":{"id":2371,"type":"article-journal","abstract":"The core focus of this review is to show how immediate and valid feedback, qualitative assessment influence enhances students learning in a higher education environment. With the rising trend of online education especially in this COVID-19 pandemic, the role of assessment and feedback also changes. Earlier the assessment part is not considered the main focus in learning and teaching in HEIs, but now with the increase in online education, it is observed that the paradigm is shifted toward assessing those activities of students that enhance their learning outcomes. A lot of research work has been done on developing assessment strategies and techniques that can support learning and teaching effectively. Yet, there is limited research that looks at how methods applied in learning analytics can be used and possibly constitutes the assessment process. The objective of this work is to provide an exploratory and comparative study of how assessment and feedback practices can enhance students learning outcomes using AI. The key contribution of this study attempts to capture an outline of the most used artificial intelligence and machine learning algorithms for student success. The results showed that I-FCN performed better than other techniques (ANN, XG Boost, SVM, Random Forest, and Decision Trees) in all measured performance metrics. Also, the result of the comparative analysis study will help the educators, instructors, and administrators on how they could take the advantage of a data-driven approach, design less pressurized, more valid, reliable, constructive assessment findings, and connect the power of assessment and feedback to enhance the learning outcomes.","container-title":"Mathematical Problems in Engineering","DOI":"10.1155/2022/5215722","ISSN":"1563-5147","issue":"1","language":"en","license":"Copyright © 2022 Monika Hooda et al.","note":"_eprint: https://onlinelibrary.wiley.com/doi/pdf/10.1155/2022/5215722","page":"5215722","source":"Wiley Online Library","title":"Artificial Intelligence for Assessment and Feedback to Enhance Student Success in Higher Education","volume":"2022","author":[{"family":"Hooda","given":"Monika"},{"family":"Rana","given":"Chhavi"},{"family":"Dahiya","given":"Omdev"},{"family":"Rizwan","given":"Ali"},{"family":"Hossain","given":"Md Shamim"}],"issued":{"date-parts":[["2022"]]}}},{"id":2365,"uris":["http://zotero.org/users/10512605/items/2RIDNNC6"],"itemData":{"id":2365,"type":"article-journal","abstract":"As a cutting-edge field of artificial intelligence in education (AIEd) that depends on advanced computing technologies, AI performance prediction model is widely used to identify at-risk students that tend to fail, establish student-centered learning pathways, and optimize instructional design and development. A majority of the existing AI prediction models focus on the development and optimization of the accuracy of AI algorithms rather than applying AI models to provide student with in-time and continuous feedback and improve the students’ learning quality. To fill this gap, this research</w:instrText>
            </w:r>
            <w:r w:rsidRPr="00E042E6">
              <w:rPr>
                <w:rFonts w:ascii="Times New Roman" w:hAnsi="Times New Roman" w:cs="Times New Roman"/>
                <w:sz w:val="20"/>
                <w:szCs w:val="20"/>
              </w:rPr>
              <w:instrText xml:space="preserve"> integrated an AI performance prediction model with learning analytics approaches with a goal to improve student learning effects in a collaborative learning context. Quasi-experimental research was conducted in an online engineering course to examine the differences of students’ collaborative learning effect with and without the support of the integrated approach. Results showed that the integrated approach increased student engagement, improved collaborative learning performances, and strengthen student satisfactions about learning. This research made contributions to proposing an integrated approach of AI models and learning analytics (LA) feedback and providing paradigmatic implications for future development of AI-driven learning analytics.","container-title":"International Journal of Educational Technology in Higher Education","DOI":"10.1186/s41239-022-00372-4","ISSN":"2365-9440","issue":"1","journalAbbreviation":"Int J Educ Technol High Educ","language":"en","page":"4","source":"Springer Link","title":"Integration of artificial intelligence performance prediction and learning analytics to improve student learning in online engineering course","volume":"20","author":[{"family":"Ouyang","given":"Fan"},{"family":"Wu","given":"Mian"},{"family":"Zheng","given":"Luyi"},{"family":"Zhang","given":"Liyin"},{"family":"Jiao","given":"Pengcheng"}],"issued":{"date-parts":[["2023",1,17]]}}}],"schema":"https://github.com/citation-style-language/schema/raw/master/csl-citation.json"} </w:instrText>
            </w:r>
            <w:r w:rsidRPr="00E042E6">
              <w:rPr>
                <w:rFonts w:ascii="Times New Roman" w:hAnsi="Times New Roman" w:cs="Times New Roman"/>
                <w:sz w:val="20"/>
                <w:szCs w:val="20"/>
                <w:lang w:val="en-US"/>
              </w:rPr>
              <w:fldChar w:fldCharType="separate"/>
            </w:r>
            <w:r w:rsidRPr="00E042E6">
              <w:rPr>
                <w:rFonts w:ascii="Times New Roman" w:hAnsi="Times New Roman" w:cs="Times New Roman"/>
                <w:sz w:val="20"/>
                <w:szCs w:val="20"/>
              </w:rPr>
              <w:t xml:space="preserve">Dai &amp; </w:t>
            </w:r>
            <w:proofErr w:type="spellStart"/>
            <w:r w:rsidRPr="00E042E6">
              <w:rPr>
                <w:rFonts w:ascii="Times New Roman" w:hAnsi="Times New Roman" w:cs="Times New Roman"/>
                <w:sz w:val="20"/>
                <w:szCs w:val="20"/>
              </w:rPr>
              <w:t>Ke</w:t>
            </w:r>
            <w:proofErr w:type="spellEnd"/>
            <w:r w:rsidRPr="00E042E6">
              <w:rPr>
                <w:rFonts w:ascii="Times New Roman" w:hAnsi="Times New Roman" w:cs="Times New Roman"/>
                <w:sz w:val="20"/>
                <w:szCs w:val="20"/>
              </w:rPr>
              <w:t xml:space="preserve">, 2022; </w:t>
            </w:r>
            <w:proofErr w:type="spellStart"/>
            <w:r w:rsidRPr="00E042E6">
              <w:rPr>
                <w:rFonts w:ascii="Times New Roman" w:hAnsi="Times New Roman" w:cs="Times New Roman"/>
                <w:sz w:val="20"/>
                <w:szCs w:val="20"/>
              </w:rPr>
              <w:t>Hooda</w:t>
            </w:r>
            <w:proofErr w:type="spellEnd"/>
            <w:r w:rsidRPr="00E042E6">
              <w:rPr>
                <w:rFonts w:ascii="Times New Roman" w:hAnsi="Times New Roman" w:cs="Times New Roman"/>
                <w:sz w:val="20"/>
                <w:szCs w:val="20"/>
              </w:rPr>
              <w:t xml:space="preserve"> et al., 2022; </w:t>
            </w:r>
            <w:proofErr w:type="spellStart"/>
            <w:r w:rsidRPr="00E042E6">
              <w:rPr>
                <w:rFonts w:ascii="Times New Roman" w:hAnsi="Times New Roman" w:cs="Times New Roman"/>
                <w:sz w:val="20"/>
                <w:szCs w:val="20"/>
              </w:rPr>
              <w:t>Ouyang</w:t>
            </w:r>
            <w:proofErr w:type="spellEnd"/>
            <w:r w:rsidRPr="00E042E6">
              <w:rPr>
                <w:rFonts w:ascii="Times New Roman" w:hAnsi="Times New Roman" w:cs="Times New Roman"/>
                <w:sz w:val="20"/>
                <w:szCs w:val="20"/>
              </w:rPr>
              <w:t xml:space="preserve"> et al., 2023</w:t>
            </w:r>
            <w:r w:rsidRPr="00E042E6">
              <w:rPr>
                <w:rFonts w:ascii="Times New Roman" w:hAnsi="Times New Roman" w:cs="Times New Roman"/>
                <w:sz w:val="20"/>
                <w:szCs w:val="20"/>
                <w:lang w:val="en-US"/>
              </w:rPr>
              <w:fldChar w:fldCharType="end"/>
            </w:r>
          </w:p>
        </w:tc>
      </w:tr>
    </w:tbl>
    <w:p w14:paraId="163B7029" w14:textId="77777777" w:rsidR="005A6BB9" w:rsidRDefault="005A6BB9"/>
    <w:sectPr w:rsidR="005A6B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C84"/>
    <w:rsid w:val="001E1FD8"/>
    <w:rsid w:val="00407E2F"/>
    <w:rsid w:val="005A6BB9"/>
    <w:rsid w:val="00896C84"/>
    <w:rsid w:val="009607E6"/>
    <w:rsid w:val="00E042E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50142"/>
  <w15:chartTrackingRefBased/>
  <w15:docId w15:val="{9F9468A5-CBAC-4F00-803C-D9CF0C7B3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C84"/>
  </w:style>
  <w:style w:type="paragraph" w:styleId="Overskrift1">
    <w:name w:val="heading 1"/>
    <w:basedOn w:val="Normal"/>
    <w:next w:val="Normal"/>
    <w:link w:val="Overskrift1Tegn"/>
    <w:uiPriority w:val="9"/>
    <w:qFormat/>
    <w:rsid w:val="00896C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96C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96C8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96C8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96C8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96C8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96C8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96C8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96C84"/>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96C8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896C8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896C84"/>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896C84"/>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896C84"/>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896C84"/>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896C84"/>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896C84"/>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896C84"/>
    <w:rPr>
      <w:rFonts w:eastAsiaTheme="majorEastAsia" w:cstheme="majorBidi"/>
      <w:color w:val="272727" w:themeColor="text1" w:themeTint="D8"/>
    </w:rPr>
  </w:style>
  <w:style w:type="paragraph" w:styleId="Tittel">
    <w:name w:val="Title"/>
    <w:basedOn w:val="Normal"/>
    <w:next w:val="Normal"/>
    <w:link w:val="TittelTegn"/>
    <w:uiPriority w:val="10"/>
    <w:qFormat/>
    <w:rsid w:val="00896C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96C84"/>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96C84"/>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96C84"/>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96C84"/>
    <w:pPr>
      <w:spacing w:before="160"/>
      <w:jc w:val="center"/>
    </w:pPr>
    <w:rPr>
      <w:i/>
      <w:iCs/>
      <w:color w:val="404040" w:themeColor="text1" w:themeTint="BF"/>
    </w:rPr>
  </w:style>
  <w:style w:type="character" w:customStyle="1" w:styleId="SitatTegn">
    <w:name w:val="Sitat Tegn"/>
    <w:basedOn w:val="Standardskriftforavsnitt"/>
    <w:link w:val="Sitat"/>
    <w:uiPriority w:val="29"/>
    <w:rsid w:val="00896C84"/>
    <w:rPr>
      <w:i/>
      <w:iCs/>
      <w:color w:val="404040" w:themeColor="text1" w:themeTint="BF"/>
    </w:rPr>
  </w:style>
  <w:style w:type="paragraph" w:styleId="Listeavsnitt">
    <w:name w:val="List Paragraph"/>
    <w:basedOn w:val="Normal"/>
    <w:uiPriority w:val="34"/>
    <w:qFormat/>
    <w:rsid w:val="00896C84"/>
    <w:pPr>
      <w:ind w:left="720"/>
      <w:contextualSpacing/>
    </w:pPr>
  </w:style>
  <w:style w:type="character" w:styleId="Sterkutheving">
    <w:name w:val="Intense Emphasis"/>
    <w:basedOn w:val="Standardskriftforavsnitt"/>
    <w:uiPriority w:val="21"/>
    <w:qFormat/>
    <w:rsid w:val="00896C84"/>
    <w:rPr>
      <w:i/>
      <w:iCs/>
      <w:color w:val="0F4761" w:themeColor="accent1" w:themeShade="BF"/>
    </w:rPr>
  </w:style>
  <w:style w:type="paragraph" w:styleId="Sterktsitat">
    <w:name w:val="Intense Quote"/>
    <w:basedOn w:val="Normal"/>
    <w:next w:val="Normal"/>
    <w:link w:val="SterktsitatTegn"/>
    <w:uiPriority w:val="30"/>
    <w:qFormat/>
    <w:rsid w:val="00896C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896C84"/>
    <w:rPr>
      <w:i/>
      <w:iCs/>
      <w:color w:val="0F4761" w:themeColor="accent1" w:themeShade="BF"/>
    </w:rPr>
  </w:style>
  <w:style w:type="character" w:styleId="Sterkreferanse">
    <w:name w:val="Intense Reference"/>
    <w:basedOn w:val="Standardskriftforavsnitt"/>
    <w:uiPriority w:val="32"/>
    <w:qFormat/>
    <w:rsid w:val="00896C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8925</Words>
  <Characters>47303</Characters>
  <Application>Microsoft Office Word</Application>
  <DocSecurity>0</DocSecurity>
  <Lines>394</Lines>
  <Paragraphs>112</Paragraphs>
  <ScaleCrop>false</ScaleCrop>
  <Company/>
  <LinksUpToDate>false</LinksUpToDate>
  <CharactersWithSpaces>56116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Aoudi Chance</dc:creator>
  <cp:keywords/>
  <dc:description/>
  <cp:lastModifiedBy>Emmanuel Aoudi Chance</cp:lastModifiedBy>
  <cp:revision>3</cp:revision>
  <dcterms:created xsi:type="dcterms:W3CDTF">2024-11-07T14:51:00Z</dcterms:created>
  <dcterms:modified xsi:type="dcterms:W3CDTF">2024-11-07T15:05:00Z</dcterms:modified>
</cp:coreProperties>
</file>