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21B4B" w14:textId="77777777" w:rsidR="00F53AF4" w:rsidRPr="004C2748" w:rsidRDefault="00F53AF4" w:rsidP="00F53AF4">
      <w:pPr>
        <w:spacing w:line="360" w:lineRule="auto"/>
        <w:jc w:val="both"/>
        <w:rPr>
          <w:rFonts w:ascii="Times New Roman" w:hAnsi="Times New Roman" w:cs="Times New Roman"/>
          <w:lang w:val="en-US"/>
        </w:rPr>
      </w:pPr>
      <w:r w:rsidRPr="004C2748">
        <w:rPr>
          <w:rFonts w:ascii="Times New Roman" w:hAnsi="Times New Roman" w:cs="Times New Roman"/>
          <w:lang w:val="en-US"/>
        </w:rPr>
        <w:t xml:space="preserve">Table 4: </w:t>
      </w:r>
      <w:r w:rsidRPr="004C2748">
        <w:rPr>
          <w:rFonts w:ascii="Times New Roman" w:hAnsi="Times New Roman" w:cs="Times New Roman"/>
          <w:b/>
          <w:bCs/>
          <w:lang w:val="en-US"/>
        </w:rPr>
        <w:t>Interdisciplinary Teamwork</w:t>
      </w:r>
      <w:r w:rsidRPr="004C2748">
        <w:rPr>
          <w:rFonts w:ascii="Times New Roman" w:hAnsi="Times New Roman" w:cs="Times New Roman"/>
          <w:lang w:val="en-U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4"/>
        <w:gridCol w:w="2270"/>
        <w:gridCol w:w="3610"/>
        <w:gridCol w:w="1458"/>
      </w:tblGrid>
      <w:tr w:rsidR="00F53AF4" w:rsidRPr="000F216B" w14:paraId="51601201" w14:textId="77777777" w:rsidTr="00867DE1">
        <w:trPr>
          <w:tblHeader/>
          <w:tblCellSpacing w:w="15" w:type="dxa"/>
        </w:trPr>
        <w:tc>
          <w:tcPr>
            <w:tcW w:w="0" w:type="auto"/>
            <w:vAlign w:val="center"/>
            <w:hideMark/>
          </w:tcPr>
          <w:p w14:paraId="70DDF1C5" w14:textId="77777777" w:rsidR="00F53AF4" w:rsidRPr="000F216B" w:rsidRDefault="00F53AF4" w:rsidP="00867DE1">
            <w:pPr>
              <w:spacing w:line="360" w:lineRule="auto"/>
              <w:jc w:val="both"/>
              <w:rPr>
                <w:rFonts w:ascii="Times New Roman" w:hAnsi="Times New Roman" w:cs="Times New Roman"/>
                <w:b/>
                <w:bCs/>
                <w:sz w:val="18"/>
                <w:szCs w:val="18"/>
                <w:lang w:val="en-US"/>
              </w:rPr>
            </w:pPr>
            <w:r w:rsidRPr="000F216B">
              <w:rPr>
                <w:rFonts w:ascii="Times New Roman" w:hAnsi="Times New Roman" w:cs="Times New Roman"/>
                <w:b/>
                <w:bCs/>
                <w:sz w:val="18"/>
                <w:szCs w:val="18"/>
                <w:lang w:val="en-US"/>
              </w:rPr>
              <w:t>Category</w:t>
            </w:r>
          </w:p>
        </w:tc>
        <w:tc>
          <w:tcPr>
            <w:tcW w:w="0" w:type="auto"/>
            <w:vAlign w:val="center"/>
            <w:hideMark/>
          </w:tcPr>
          <w:p w14:paraId="0D91177E" w14:textId="77777777" w:rsidR="00F53AF4" w:rsidRPr="000F216B" w:rsidRDefault="00F53AF4" w:rsidP="00867DE1">
            <w:pPr>
              <w:spacing w:line="360" w:lineRule="auto"/>
              <w:jc w:val="both"/>
              <w:rPr>
                <w:rFonts w:ascii="Times New Roman" w:hAnsi="Times New Roman" w:cs="Times New Roman"/>
                <w:b/>
                <w:bCs/>
                <w:sz w:val="18"/>
                <w:szCs w:val="18"/>
                <w:lang w:val="en-US"/>
              </w:rPr>
            </w:pPr>
            <w:r w:rsidRPr="000F216B">
              <w:rPr>
                <w:rFonts w:ascii="Times New Roman" w:hAnsi="Times New Roman" w:cs="Times New Roman"/>
                <w:b/>
                <w:bCs/>
                <w:sz w:val="18"/>
                <w:szCs w:val="18"/>
                <w:lang w:val="en-US"/>
              </w:rPr>
              <w:t>Subcategory</w:t>
            </w:r>
          </w:p>
        </w:tc>
        <w:tc>
          <w:tcPr>
            <w:tcW w:w="0" w:type="auto"/>
            <w:vAlign w:val="center"/>
            <w:hideMark/>
          </w:tcPr>
          <w:p w14:paraId="123EF93E" w14:textId="77777777" w:rsidR="00F53AF4" w:rsidRPr="000F216B" w:rsidRDefault="00F53AF4" w:rsidP="00867DE1">
            <w:pPr>
              <w:spacing w:line="360" w:lineRule="auto"/>
              <w:jc w:val="both"/>
              <w:rPr>
                <w:rFonts w:ascii="Times New Roman" w:hAnsi="Times New Roman" w:cs="Times New Roman"/>
                <w:b/>
                <w:bCs/>
                <w:sz w:val="18"/>
                <w:szCs w:val="18"/>
                <w:lang w:val="en-US"/>
              </w:rPr>
            </w:pPr>
            <w:r w:rsidRPr="000F216B">
              <w:rPr>
                <w:rFonts w:ascii="Times New Roman" w:hAnsi="Times New Roman" w:cs="Times New Roman"/>
                <w:b/>
                <w:bCs/>
                <w:sz w:val="18"/>
                <w:szCs w:val="18"/>
                <w:lang w:val="en-US"/>
              </w:rPr>
              <w:t>Findings</w:t>
            </w:r>
          </w:p>
        </w:tc>
        <w:tc>
          <w:tcPr>
            <w:tcW w:w="0" w:type="auto"/>
            <w:vAlign w:val="center"/>
            <w:hideMark/>
          </w:tcPr>
          <w:p w14:paraId="14EC8968" w14:textId="77777777" w:rsidR="00F53AF4" w:rsidRPr="000F216B" w:rsidRDefault="00F53AF4" w:rsidP="00867DE1">
            <w:pPr>
              <w:spacing w:line="360" w:lineRule="auto"/>
              <w:jc w:val="both"/>
              <w:rPr>
                <w:rFonts w:ascii="Times New Roman" w:hAnsi="Times New Roman" w:cs="Times New Roman"/>
                <w:b/>
                <w:bCs/>
                <w:sz w:val="18"/>
                <w:szCs w:val="18"/>
                <w:lang w:val="en-US"/>
              </w:rPr>
            </w:pPr>
            <w:r w:rsidRPr="000F216B">
              <w:rPr>
                <w:rFonts w:ascii="Times New Roman" w:hAnsi="Times New Roman" w:cs="Times New Roman"/>
                <w:b/>
                <w:bCs/>
                <w:sz w:val="18"/>
                <w:szCs w:val="18"/>
                <w:lang w:val="en-US"/>
              </w:rPr>
              <w:t>Authors</w:t>
            </w:r>
          </w:p>
        </w:tc>
      </w:tr>
      <w:tr w:rsidR="00F53AF4" w:rsidRPr="000F216B" w14:paraId="2B913123" w14:textId="77777777" w:rsidTr="00867DE1">
        <w:trPr>
          <w:tblCellSpacing w:w="15" w:type="dxa"/>
        </w:trPr>
        <w:tc>
          <w:tcPr>
            <w:tcW w:w="0" w:type="auto"/>
            <w:vAlign w:val="center"/>
            <w:hideMark/>
          </w:tcPr>
          <w:p w14:paraId="6D9F852E"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Interdisciplinary Teamwork</w:t>
            </w:r>
          </w:p>
        </w:tc>
        <w:tc>
          <w:tcPr>
            <w:tcW w:w="0" w:type="auto"/>
            <w:vAlign w:val="center"/>
            <w:hideMark/>
          </w:tcPr>
          <w:p w14:paraId="1BC5273B"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Team-Based Simulation</w:t>
            </w:r>
          </w:p>
        </w:tc>
        <w:tc>
          <w:tcPr>
            <w:tcW w:w="0" w:type="auto"/>
            <w:vAlign w:val="center"/>
            <w:hideMark/>
          </w:tcPr>
          <w:p w14:paraId="757EBD19"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AI and VR enable interdisciplinary team simulations, enhancing collaborative skills and patient safety.</w:t>
            </w:r>
          </w:p>
        </w:tc>
        <w:tc>
          <w:tcPr>
            <w:tcW w:w="0" w:type="auto"/>
            <w:vAlign w:val="center"/>
            <w:hideMark/>
          </w:tcPr>
          <w:p w14:paraId="1A2970E7"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{"citationID":"vuKtxhwa","properties":{"formattedCitation":"(S. Y. Liaw et al., 2023)","plainCitation":"(S. Y. Liaw et al., 2023)","dontUpdate":true,"noteIndex":0},"citationItems":[{"id":2231,"uris":["http://zotero.org/users/10512605/items/KX4EH3LV"],"itemData":{"id":2231,"type":"article-journal","abstract":"Background\nVirtual reality simulations are shown to be an effective approach for interprofessional nurse-physician communication training. However, its scalability is constrained by unequal medical-nursing cohort size, rendering a great challenge for all nursing students to form an interprofessional team with medical students. With the evolution of artificial intelligence (AI), an AI medical team player can be integrated into virtual reality simulations for more nursing students to engage in interprofessional team training.\nObjectives\nTo describe the development of a novel AI-enabled virtual reality simulation (AI-enabled VRS) and to evaluate nursing students' competencies and experiences in communicating with an AI medical doctor.\nMethods\nA mixed-methods design using a one-group pretest-posttest design and focus group discussions were employed in the evaluation phase. Nursing students from a university were recruited to undertake the 2-hour AI-enabled VRS. Pre-test and post-tests were administered to evaluate the participants' communication knowledge and self-efficacy. Survey questionnaires were administered to examine their experiences with the virtual reality environment and the AI doctor. Five focus group discussions were conducted to gain deeper insight into their learning experiences.\nResults\nThe participants demonstrated significant improvements in communication knowledge and interprofessional communication self-efficacy after the learning. They reported positively on the acceptability, feasibility and usability of the AI-enabled VRS. The subscale of “human-like” feature of the AI medical doctor was rated the lowest. Three themes surrounding participants' experiences of the virtual learning emerged: “relate to the real world”, “artificial intelligence versus human intelligence” and “complement with face-to-face learning”.\nConclusions\nThis study demonstrates initial evidence on the potential of AI-enabled VRS in fostering nursing students' learning on interprofessional communication skills. The findings have also provided insights on how to improve the AI-enabled VRS, in particular, the expressiveness of the AI pedagogical agent and facilitating more dialogue trainings with learner-agent conversations.","container-title":"Nurse Education Today","DOI":"10.1016/j.nedt.2023.105718","ISSN":"0260-6917","journalAbbreviation":"Nurse Education Today","page":"105718","source":"ScienceDirect","title":"Artificial intelligence in virtual reality simulation for interprofessional communication training: Mixed method study","title-short":"Artificial intelligence in virtual reality simulation for interprofessional communication training","volume":"122","author":[{"family":"Liaw","given":"Sok Ying"},{"family":"Tan","given":"Jian Zhi"},{"family":"Lim","given":"Siriwan"},{"family":"Zhou","given":"Wentao"},{"family":"Yap","given":"John"},{"family":"Ratan","given":"Rabindra"},{"family":"Ooi","given":"Sim Leng"},{"family":"Wong","given":"Shu Jing"},{"family":"Seah","given":"Betsy"},{"family":"Chua","given":"Wei Ling"}],"issued":{"date-parts":[["2023",3,1]]}}}],"schema":"https://github.com/citation-style-language/schema/raw/master/csl-citation.json"}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lang w:val="en-US"/>
              </w:rPr>
              <w:t>S. Y. Liaw et al., 2023</w:t>
            </w:r>
            <w:r w:rsidRPr="000F216B">
              <w:rPr>
                <w:rFonts w:ascii="Times New Roman" w:hAnsi="Times New Roman" w:cs="Times New Roman"/>
                <w:sz w:val="18"/>
                <w:szCs w:val="18"/>
                <w:lang w:val="en-US"/>
              </w:rPr>
              <w:fldChar w:fldCharType="end"/>
            </w:r>
          </w:p>
          <w:p w14:paraId="42DD1B78"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{"citationID":"kvTm7KWm","properties":{"formattedCitation":"(S. Y. Liaw et al., 2023)","plainCitation":"(S. Y. Liaw et al., 2023)","noteIndex":0},"citationItems":[{"id":2231,"uris":["http://zotero.org/users/10512605/items/KX4EH3LV"],"itemData":{"id":2231,"type":"article-journal","abstract":"Background\nVirtual reality simulations are shown to be an effective approach for interprofessional nurse-physician communication training. However, its scalability is constrained by unequal medical-nursing cohort size, rendering a great challenge for all nursing students to form an interprofessional team with medical students. With the evolution of artificial intelligence (AI), an AI medical team player can be integrated into virtual reality simulations for more nursing students to engage in interprofessional team training.\nObjectives\nTo describe the development of a novel AI-enabled virtual reality simulation (AI-enabled VRS) and to evaluate nursing students' competencies and experiences in communicating with an AI medical doctor.\nMethods\nA mixed-methods design using a one-group pretest-posttest design and focus group discussions were employed in the evaluation phase. Nursing students from a university were recruited to undertake the 2-hour AI-enabled VRS. Pre-test and post-tests were administered to evaluate the participants' communication knowledge and self-efficacy. Survey questionnaires were administered to examine their experiences with the virtual reality environment and the AI doctor. Five focus group discussions were conducted to gain deeper insight into their learning experiences.\nResults\nThe participants demonstrated significant improvements in communication knowledge and interprofessional communication self-efficacy after the learning. They reported positively on the acceptability, feasibility and usability of the AI-enabled VRS. The subscale of “human-like” feature of the AI medical doctor was rated the lowest. Three themes surrounding participants' experiences of the virtual learning emerged: “relate to the real world”, “artificial intelligence versus human intelligence” and “complement with face-to-face learning”.\nConclusions\nThis study demonstrates initial evidence on the potential of AI-enabled VRS in fostering nursing students' learning on interprofessional communication skills. The findings have also provided insights on how to improve the AI-enabled VRS, in particular, the expressiveness of the AI pedagogical agent and facilitating more dialogue trainings with learner-agent conversations.","container-title":"Nurse Education Today","DOI":"10.1016/j.nedt.2023.105718","ISSN":"0260-6917","journalAbbreviation":"Nurse Education Today","page":"105718","source":"ScienceDirect","title":"Artificial intelligence in virtual reality simulation for interprofessional communication training: Mixed method study","title-short":"Artificial intelligence in virtual reality simulation for interprofessional communication training","volume":"122","author":[{"family":"Liaw","given":"Sok Ying"},{"family":"Tan","given":"Jian Zhi"},{"family":"Lim","given":"Siriwan"},{"family":"Zhou","given":"Wentao"},{"family":"Yap","given":"John"},{"family":"Ratan","given":"Rabindra"},{"family":"Ooi","given":"Sim Leng"},{"family":"Wong","given":"Shu Jing"},{"family":"Seah","given":"Betsy"},{"family":"Chua","given":"Wei Ling"}],"issued":{"date-parts":[["2023",3,1]]}}}],"schema":"https://github.com/citation-style-language/schema/raw/master/csl-citation.json"}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lang w:val="en-US"/>
              </w:rPr>
              <w:t>(S. Y. Liaw et al., 2023)</w:t>
            </w:r>
            <w:r w:rsidRPr="000F216B">
              <w:rPr>
                <w:rFonts w:ascii="Times New Roman" w:hAnsi="Times New Roman" w:cs="Times New Roman"/>
                <w:sz w:val="18"/>
                <w:szCs w:val="18"/>
                <w:lang w:val="en-US"/>
              </w:rPr>
              <w:fldChar w:fldCharType="end"/>
            </w:r>
          </w:p>
          <w:p w14:paraId="3773A45C"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{"citationID":"uPbQ33sc","properties":{"formattedCitation":"(A. Hamilton, 2024)","plainCitation":"(A. Hamilton, 2024)","dontUpdate":true,"noteIndex":0},"citationItems":[{"id":2378,"uris":["http://zotero.org/users/10512605/items/U7D5YM2M"],"itemData":{"id":2378,"type":"article-journal","container-title":"Cureus","DOI":"10.7759/cureus.59747","ISSN":"2168-8184","language":"en","source":"DOI.org (Crossref)","title":"Artificial Intelligence and Healthcare Simulation: The Shifting Landscape of Medical Education","title-short":"Artificial Intelligence and Healthcare Simulation","URL":"https://www.cureus.com/articles/233783-artificial-intelligence-and-healthcare-simulation-the-shifting-landscape-of-medical-education","author":[{"family":"Hamilton","given":"Allan"}],"accessed":{"date-parts":[["2024",11,4]]},"issued":{"date-parts":[["2024",5,6]]}}}],"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lang w:val="en-US"/>
              </w:rPr>
              <w:t>A. Hamilton, 2024</w:t>
            </w:r>
            <w:r w:rsidRPr="000F216B">
              <w:rPr>
                <w:rFonts w:ascii="Times New Roman" w:hAnsi="Times New Roman" w:cs="Times New Roman"/>
                <w:sz w:val="18"/>
                <w:szCs w:val="18"/>
                <w:lang w:val="en-US"/>
              </w:rPr>
              <w:fldChar w:fldCharType="end"/>
            </w:r>
          </w:p>
          <w:p w14:paraId="6A752820"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Steen et al., 2024</w:t>
            </w:r>
          </w:p>
        </w:tc>
      </w:tr>
      <w:tr w:rsidR="00F53AF4" w:rsidRPr="000F216B" w14:paraId="09E523AB" w14:textId="77777777" w:rsidTr="00867DE1">
        <w:trPr>
          <w:tblCellSpacing w:w="15" w:type="dxa"/>
        </w:trPr>
        <w:tc>
          <w:tcPr>
            <w:tcW w:w="0" w:type="auto"/>
            <w:vAlign w:val="center"/>
            <w:hideMark/>
          </w:tcPr>
          <w:p w14:paraId="7C16D990"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Interdisciplinary Teamwork</w:t>
            </w:r>
          </w:p>
        </w:tc>
        <w:tc>
          <w:tcPr>
            <w:tcW w:w="0" w:type="auto"/>
            <w:vAlign w:val="center"/>
            <w:hideMark/>
          </w:tcPr>
          <w:p w14:paraId="13A55EF4"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Enhanced Communication and Decision-Making</w:t>
            </w:r>
          </w:p>
        </w:tc>
        <w:tc>
          <w:tcPr>
            <w:tcW w:w="0" w:type="auto"/>
            <w:vAlign w:val="center"/>
            <w:hideMark/>
          </w:tcPr>
          <w:p w14:paraId="4A387102"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VR scenarios improve team communication and decision-making under pressure.</w:t>
            </w:r>
          </w:p>
        </w:tc>
        <w:tc>
          <w:tcPr>
            <w:tcW w:w="0" w:type="auto"/>
            <w:vAlign w:val="center"/>
            <w:hideMark/>
          </w:tcPr>
          <w:p w14:paraId="725446AB"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Shorey et al., 2020</w:t>
            </w:r>
          </w:p>
          <w:p w14:paraId="2628125F"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 xml:space="preserve"> </w:t>
            </w: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{"citationID":"PyKIxHkB","properties":{"formattedCitation":"(Grassini &amp; Ratcliffe, 2024)","plainCitation":"(Grassini &amp; Ratcliffe, 2024)","dontUpdate":true,"noteIndex":0},"citationItems":[{"id":2237,"uris":["http://zotero.org/users/10512605/items/TCDQG3PK"],"itemData":{"id":2237,"type":"chapter","abstract":"This chapter considers the potential of virtual reality (VR) technology in fostering mental well-being and raising environmental consciousness. As urbanisation leads to a decline in green spaces, VR emerges as a solution by simulating natural environments, providing an innovative approach to health and well-being. The chapter investigates the capacity of VR to evoke emotional responses thus potentially promoting prosocial behaviour and effective environmental communication. It also examines how VR can help frame environmental messages and the need for more empirical research to understand the effects of message framing on pro-environmental behaviour. Furthermore, the chapter considers the psychological benefits of VR nature experiences and the rise of virtual reality tourism as a sustainable alternative to traditional tourism, which often contributes to environmental degradation due to associated economic activities. Despite facing challenges and limitations such as lack of standardisation and varying user acceptance, VR technology holds promise in the fields of environmental education and nature-based health promotion, meriting further exploration and research.","container-title":"Managing Protected Areas: People and Places","event-place":"Cham","ISBN":"978-3-031-40783-3","language":"en","note":"DOI: 10.1007/978-3-031-40783-3_17","page":"327-351","publisher":"Springer International Publishing","publisher-place":"Cham","source":"Springer Link","title":"The Virtual Wild: Exploring the Intersection of Virtual Reality and Natural Environments","title-short":"The Virtual Wild","URL":"https://doi.org/10.1007/978-3-031-40783-3_17","author":[{"family":"Grassini","given":"Simone"},{"family":"Ratcliffe","given":"Eleanor"}],"editor":[{"family":"Finneran","given":"Niall"},{"family":"Hewlett","given":"Denise"},{"family":"Clarke","given":"Richard"}],"accessed":{"date-parts":[["2024",11,3]]},"issued":{"date-parts":[["2024"]]}}}],"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lang w:val="en-US"/>
              </w:rPr>
              <w:t>Grassini &amp; Ratcliffe, 2024</w:t>
            </w:r>
            <w:r w:rsidRPr="000F216B">
              <w:rPr>
                <w:rFonts w:ascii="Times New Roman" w:hAnsi="Times New Roman" w:cs="Times New Roman"/>
                <w:sz w:val="18"/>
                <w:szCs w:val="18"/>
                <w:lang w:val="en-US"/>
              </w:rPr>
              <w:fldChar w:fldCharType="end"/>
            </w:r>
          </w:p>
          <w:p w14:paraId="6A5590EA"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{"citationID":"nTDJGUUR","properties":{"formattedCitation":"(Kim et al., 2024; S. Liaw et al., 2020; Qiao et al., 2021)","plainCitation":"(Kim et al., 2024; S. Liaw et al., 2020; Qiao et al., 2021)","dontUpdate":true,"noteIndex":0},"citationItems":[{"id":2246,"uris":["http://zotero.org/users/10512605/items/ENGG76X8"],"itemData":{"id":2246,"type":"article-journal","abstract":"This study investigates the impact of a Virtual Reality (VR)-based Mental Health Nursing Practice Simulation (MHNPS) on nursing students’ competency in caring for individuals with mental disorders. Nursing students often face fear, anxiety, and ...","container-title":"Journal of Multidisciplinary Healthcare","DOI":"10.2147/JMDH.S435986","language":"en","note":"PMID: 38226028","page":"191","source":"pmc.ncbi.nlm.nih.gov","title":"Impact of Virtual Reality Mental Health Nursing Simulation on Nursing Students’ Competence","volume":"17","author":[{"family":"Kim","given":"Geun Myun"},{"family":"Lim","given":"Ji Young"},{"family":"Kim","given":"Eun Joo"},{"family":"Yeom","given":"Mijung"}],"issued":{"date-parts":[["2024",1,11]]}}},{"id":2240,"uris":["http://zotero.org/users/10512605/items/R2KH39GW"],"itemData":{"id":2240,"type":"article-journal","abstract":"Background\nInterprofessional rounds are increasingly applied in providing patient-centered team care delivery. Students from six health care courses in medicine, nursing, pharmacy, physiotherapy, occupational therapy, and social work formed interprofessional teams to undertake an interprofessional education (IPE) on virtual reality simulation–based interprofessional rounds. This study aimed to evaluate health care students’ perspectives on the transferability of the IPE virtual reality simulation learning to clinical practice.\n\nMethod\nThree focus group discussions were conducted.\n\nResults\nThree themes emerged: “gaining insights into mutual roles,” whereby students better understood the different interprofessional roles of other team members, “seeing the patient as a whole” to foster patient-centered care, and “gaps in real-world application” due to system and structure constraints.\n\nConclusions\nEarly exposure to team care through IPE virtual reality simulation can foster understandings of the interdependent roles of health care professionals toward patient-centered care. For greater clinical impact, a further recommendation is to supplement with workplace-based team training to contextualize learning with practice settings.","container-title":"Clinical Simulation in Nursing","DOI":"10.1016/j.ecns.2020.03.013","journalAbbreviation":"Clinical Simulation in Nursing","source":"ResearchGate","title":"Virtual Reality Simulation in Interprofessional Round Training for Health Care Students: A Qualitative Evaluation Study","title-short":"Virtual Reality Simulation in Interprofessional Round Training for Health Care Students","volume":"45","author":[{"family":"Liaw","given":"Sok"},{"family":"Wu","given":"Ling"},{"family":"Soh","given":"Shawn"},{"family":"Ringsted","given":"Charlotte"},{"family":"Lau","given":"Tang Ching"},{"family":"Lim","given":"Wee"}],"issued":{"date-parts":[["2020",5,1]]}}},{"id":2147,"uris":["http://zotero.org/users/10512605/items/9LNMS8NG"],"itemData":{"id":2147,"type":"article-journal","abstract":"Background\nContemporary healthcare systems are in dire need of teamwork and interprofessional collaboration, however, existing curricula of health education programs offer few opportunities to build these capabilities. Virtual simulations enable interaction and cooperative learning for students pursuing health majors.\nObjective\nTo explore the effectiveness of immersive virtual reality simulation (IVRS) in interprofessional education (IPE) and the experience of students from various disciplines in a virtual clinical environment.\nDesign, data sources and methods\nA scoping review was conducted. Literature was systematically searched from CINAHL, EMBASE, ERIC, MEDLINE/PubMed, ProQuest, PsycINFO, Scopus, Science Direct, Cochrane Library and Open Grey databases. Among 2352 records, 12 research articles were found and analyzed.\nResults\nThe experiences of students participating in IVRS centered on enhanced cooperation and communication across their disciplines. They obtained a more accurate picture of the patient and developed an interdisciplinary care plan. After the IPE session, they had greater appreciation of the importance of a team approach and shared learning. Students acknowledged the usability of virtual worlds (VWs) and appreciated the immersive learning experience that was offered. They gained valuable insight into mutual roles and believed that this experience would benefit their role as a health care team member.\nConclusions\nThis study supports the usability of VWs for IPE. As a new teaching modality, the IVRS experience effectively promotes interprofessional collaboration and communication. Future advances in the use of these technologies are expected to revolutionize health science education.","container-title":"Nurse Education Today","DOI":"10.1016/j.nedt.2021.104773","ISSN":"0260-6917","journalAbbreviation":"Nurse Education Today","page":"104773","source":"ScienceDirect","title":"The integration of immersive virtual reality simulation in interprofessional education: A scoping review","title-short":"The integration of immersive virtual reality simulation in interprofessional education","volume":"98","author":[{"family":"Qiao","given":"Jia"},{"family":"Xu","given":"Jing"},{"family":"Li","given":"Lu"},{"family":"Ouyang","given":"Yan-Qiong"}],"issued":{"date-parts":[["2021",3,1]]}}}],"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lang w:val="en-US"/>
              </w:rPr>
              <w:t xml:space="preserve">Kim et al., </w:t>
            </w:r>
            <w:proofErr w:type="gramStart"/>
            <w:r w:rsidRPr="000F216B">
              <w:rPr>
                <w:rFonts w:ascii="Times New Roman" w:hAnsi="Times New Roman" w:cs="Times New Roman"/>
                <w:sz w:val="18"/>
                <w:szCs w:val="18"/>
                <w:lang w:val="en-US"/>
              </w:rPr>
              <w:t>2024;</w:t>
            </w:r>
            <w:proofErr w:type="gramEnd"/>
            <w:r w:rsidRPr="000F216B">
              <w:rPr>
                <w:rFonts w:ascii="Times New Roman" w:hAnsi="Times New Roman" w:cs="Times New Roman"/>
                <w:sz w:val="18"/>
                <w:szCs w:val="18"/>
                <w:lang w:val="en-US"/>
              </w:rPr>
              <w:t xml:space="preserve"> </w:t>
            </w:r>
          </w:p>
          <w:p w14:paraId="6FA54901"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 xml:space="preserve">S. Liaw et al., </w:t>
            </w:r>
            <w:proofErr w:type="gramStart"/>
            <w:r w:rsidRPr="000F216B">
              <w:rPr>
                <w:rFonts w:ascii="Times New Roman" w:hAnsi="Times New Roman" w:cs="Times New Roman"/>
                <w:sz w:val="18"/>
                <w:szCs w:val="18"/>
                <w:lang w:val="en-US"/>
              </w:rPr>
              <w:t>2020;</w:t>
            </w:r>
            <w:proofErr w:type="gramEnd"/>
            <w:r w:rsidRPr="000F216B">
              <w:rPr>
                <w:rFonts w:ascii="Times New Roman" w:hAnsi="Times New Roman" w:cs="Times New Roman"/>
                <w:sz w:val="18"/>
                <w:szCs w:val="18"/>
                <w:lang w:val="en-US"/>
              </w:rPr>
              <w:t xml:space="preserve"> </w:t>
            </w:r>
          </w:p>
          <w:p w14:paraId="32EEB010"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Qiao et al., 2021)</w:t>
            </w:r>
            <w:r w:rsidRPr="000F216B">
              <w:rPr>
                <w:rFonts w:ascii="Times New Roman" w:hAnsi="Times New Roman" w:cs="Times New Roman"/>
                <w:sz w:val="18"/>
                <w:szCs w:val="18"/>
                <w:lang w:val="en-US"/>
              </w:rPr>
              <w:fldChar w:fldCharType="end"/>
            </w:r>
          </w:p>
        </w:tc>
      </w:tr>
      <w:tr w:rsidR="00F53AF4" w:rsidRPr="000F216B" w14:paraId="176204CD" w14:textId="77777777" w:rsidTr="00867DE1">
        <w:trPr>
          <w:tblCellSpacing w:w="15" w:type="dxa"/>
        </w:trPr>
        <w:tc>
          <w:tcPr>
            <w:tcW w:w="0" w:type="auto"/>
            <w:vAlign w:val="center"/>
            <w:hideMark/>
          </w:tcPr>
          <w:p w14:paraId="36960008"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Interdisciplinary Teamwork</w:t>
            </w:r>
          </w:p>
        </w:tc>
        <w:tc>
          <w:tcPr>
            <w:tcW w:w="0" w:type="auto"/>
            <w:vAlign w:val="center"/>
            <w:hideMark/>
          </w:tcPr>
          <w:p w14:paraId="338C137D"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b/>
                <w:bCs/>
                <w:sz w:val="18"/>
                <w:szCs w:val="18"/>
                <w:lang w:val="en-US"/>
              </w:rPr>
              <w:t>Role Specialization Training</w:t>
            </w:r>
          </w:p>
        </w:tc>
        <w:tc>
          <w:tcPr>
            <w:tcW w:w="0" w:type="auto"/>
            <w:vAlign w:val="center"/>
            <w:hideMark/>
          </w:tcPr>
          <w:p w14:paraId="1FD4816C" w14:textId="77777777" w:rsidR="00F53AF4" w:rsidRPr="000F216B" w:rsidRDefault="00F53AF4" w:rsidP="00867DE1">
            <w:pPr>
              <w:spacing w:line="360" w:lineRule="auto"/>
              <w:jc w:val="both"/>
              <w:rPr>
                <w:rFonts w:ascii="Times New Roman" w:hAnsi="Times New Roman" w:cs="Times New Roman"/>
                <w:sz w:val="18"/>
                <w:szCs w:val="18"/>
                <w:lang w:val="en-US"/>
              </w:rPr>
            </w:pPr>
            <w:r w:rsidRPr="000F216B">
              <w:rPr>
                <w:rFonts w:ascii="Times New Roman" w:hAnsi="Times New Roman" w:cs="Times New Roman"/>
                <w:sz w:val="18"/>
                <w:szCs w:val="18"/>
                <w:lang w:val="en-US"/>
              </w:rPr>
              <w:t>Students understand and respect roles within a team, crucial for effective patient-centered care.</w:t>
            </w:r>
          </w:p>
        </w:tc>
        <w:tc>
          <w:tcPr>
            <w:tcW w:w="0" w:type="auto"/>
            <w:vAlign w:val="center"/>
            <w:hideMark/>
          </w:tcPr>
          <w:p w14:paraId="3675CC00" w14:textId="77777777" w:rsidR="00F53AF4" w:rsidRPr="000F216B" w:rsidRDefault="00F53AF4" w:rsidP="00867DE1">
            <w:pPr>
              <w:spacing w:line="360" w:lineRule="auto"/>
              <w:jc w:val="both"/>
              <w:rPr>
                <w:rFonts w:ascii="Times New Roman" w:hAnsi="Times New Roman" w:cs="Times New Roman"/>
                <w:sz w:val="18"/>
                <w:szCs w:val="18"/>
              </w:rPr>
            </w:pPr>
            <w:r w:rsidRPr="000F216B">
              <w:rPr>
                <w:rFonts w:ascii="Times New Roman" w:hAnsi="Times New Roman" w:cs="Times New Roman"/>
                <w:sz w:val="18"/>
                <w:szCs w:val="18"/>
                <w:lang w:val="en-US"/>
              </w:rPr>
              <w:fldChar w:fldCharType="begin"/>
            </w:r>
            <w:r w:rsidRPr="000F216B">
              <w:rPr>
                <w:rFonts w:ascii="Times New Roman" w:hAnsi="Times New Roman" w:cs="Times New Roman"/>
                <w:sz w:val="18"/>
                <w:szCs w:val="18"/>
                <w:lang w:val="en-US"/>
              </w:rPr>
              <w:instrText xml:space="preserve"> ADDIN ZOTERO_ITEM CSL_CITATION {"citationID":"87BtBGbi","properties":{"formattedCitation":"(Hamilton et al., 2021; Lateef, 2010; S. Liaw et al., 2020)","plainCitation":"(Hamilton et al., 2021; Lateef, 2010; S. Liaw et al., 2020)","dontUpdate":true,"noteIndex":0},"citationItems":[{"id":2259,"uris":["http://zotero.org/users/10512605/items/NELA87GM"],"itemData":{"id":2259,"type":"article-journal","abstract":"The adoption of immersive virtual reality (I-VR) as a pedagogical method in education has challenged the conceptual definition of what constitutes a learning environment. High fidelity graphics and immersive content using head-mounted-displays (HMD) have allowed students to explore complex subjects in a way that traditional teaching methods cannot. Despite this, research focusing on learning outcomes, intervention characteristics, and assessment measures associated with I-VR use has been sparse. To explore this, the current systematic review examined experimental studies published since 2013, where quantitative learning outcomes using HMD based I-VR were compared with less immersive pedagogical methods such as desktop computers and slideshows. A literature search yielded 29 publications that were deemed suitable for inclusion. Included papers were quality assessed using the Medical Education Research Study Quality Instrument (MERSQI). Most studies found a significant advantage of utilising I-VR in education, whilst a smaller number found no significant differences in attainment level regardless of whether I-VR or non-immersive methods were utilised. Only two studies found clear detrimental effects of using I-VR. However, most studies used short interventions, did not examine information retention, and were focused mainly on the teaching of scientific topics such as biology or physics. In addition, the MERSQI showed that the methods used to evaluate learning outcomes are often inadequate and this may affect the interpretation of I-VR’s utility. The review highlights that a rigorous methodological approach through the identification of appropriate assessment measures, intervention characteristics, and learning outcomes is essential to understanding the potential of I-VR as a pedagogical method.","container-title":"Journal of Computers in Education","DOI":"10.1007/s40692-020-00169-2","ISSN":"2197-9995","issue":"1","journalAbbreviation":"J. Comput. Educ.","language":"en","page":"1-32","source":"Springer Link","title":"Immersive virtual reality as a pedagogical tool in education: a systematic literature review of quantitative learning outcomes and experimental design","title-short":"Immersive virtual reality as a pedagogical tool in education","volume":"8","author":[{"family":"Hamilton","given":"D."},{"family":"McKechnie","given":"J."},{"family":"Edgerton","given":"E."},{"family":"Wilson","given":"C."}],"issued":{"date-parts":[["2021",3,1]]}}},{"id":2255,"uris":["http://zotero.org/users/10512605/items/67FAH5GD"],"itemData":{"id":2255,"type":"article-journal","abstract":"Simulation is a technique for practice and learning that can be applied to many different disciplines and trainees. It is a technique (not a technology) to replace and amplify real experiences with guided ones, often “immersive” in nature, that ...","container-title":"Journal of Emergencies, Trauma and Shock","DOI":"10.4103/0974-2700.70743","issue":"4","language":"en","note":"PMID: 21063557","page":"348","source":"pmc.ncbi.nlm.nih.gov","title":"Simulation-based learning: Just like the real thing","title-short":"Simulation-based learning","volume":"3","author":[{"family":"Lateef","given":"Fatimah"}],"issued":{"date-parts":[["2010",12]]}}},{"id":2240,"uris":["http://zotero.org/users/10512605/items/R2KH39GW"],"itemData":{"id":2240,"type":"article-journal","abstract":"Background\nInterprofessional rounds are increasingly applied in providing patient-centered team care delivery. Students from six health care courses in medicine, nursing, pharmacy, physiotherapy, occupational therapy, and social work formed interprofessional teams to undertake an interprofessional education (IPE) on virtual reality simulation–based interprofessional rounds. This study aimed to evaluate health care students’ perspectives on the transferability of the IPE virtual reality simulation learning to clini</w:instrText>
            </w:r>
            <w:r w:rsidRPr="000F216B">
              <w:rPr>
                <w:rFonts w:ascii="Times New Roman" w:hAnsi="Times New Roman" w:cs="Times New Roman"/>
                <w:sz w:val="18"/>
                <w:szCs w:val="18"/>
              </w:rPr>
              <w:instrText xml:space="preserve">cal practice.\n\nMethod\nThree focus group discussions were conducted.\n\nResults\nThree themes emerged: “gaining insights into mutual roles,” whereby students better understood the different interprofessional roles of other team members, “seeing the patient as a whole” to foster patient-centered care, and “gaps in real-world application” due to system and structure constraints.\n\nConclusions\nEarly exposure to team care through IPE virtual reality simulation can foster understandings of the interdependent roles of health care professionals toward patient-centered care. For greater clinical impact, a further recommendation is to supplement with workplace-based team training to contextualize learning with practice settings.","container-title":"Clinical Simulation in Nursing","DOI":"10.1016/j.ecns.2020.03.013","journalAbbreviation":"Clinical Simulation in Nursing","source":"ResearchGate","title":"Virtual Reality Simulation in Interprofessional Round Training for Health Care Students: A Qualitative Evaluation Study","title-short":"Virtual Reality Simulation in Interprofessional Round Training for Health Care Students","volume":"45","author":[{"family":"Liaw","given":"Sok"},{"family":"Wu","given":"Ling"},{"family":"Soh","given":"Shawn"},{"family":"Ringsted","given":"Charlotte"},{"family":"Lau","given":"Tang Ching"},{"family":"Lim","given":"Wee"}],"issued":{"date-parts":[["2020",5,1]]}}}],"schema":"https://github.com/citation-style-language/schema/raw/master/csl-citation.json"} </w:instrText>
            </w:r>
            <w:r w:rsidRPr="000F216B">
              <w:rPr>
                <w:rFonts w:ascii="Times New Roman" w:hAnsi="Times New Roman" w:cs="Times New Roman"/>
                <w:sz w:val="18"/>
                <w:szCs w:val="18"/>
                <w:lang w:val="en-US"/>
              </w:rPr>
              <w:fldChar w:fldCharType="separate"/>
            </w:r>
            <w:r w:rsidRPr="000F216B">
              <w:rPr>
                <w:rFonts w:ascii="Times New Roman" w:hAnsi="Times New Roman" w:cs="Times New Roman"/>
                <w:sz w:val="18"/>
                <w:szCs w:val="18"/>
              </w:rPr>
              <w:t xml:space="preserve">Hamilton et al., 2021; </w:t>
            </w:r>
          </w:p>
          <w:p w14:paraId="601FE594" w14:textId="77777777" w:rsidR="00F53AF4" w:rsidRPr="000F216B" w:rsidRDefault="00F53AF4" w:rsidP="00867DE1">
            <w:pPr>
              <w:spacing w:line="360" w:lineRule="auto"/>
              <w:jc w:val="both"/>
              <w:rPr>
                <w:rFonts w:ascii="Times New Roman" w:hAnsi="Times New Roman" w:cs="Times New Roman"/>
                <w:sz w:val="18"/>
                <w:szCs w:val="18"/>
              </w:rPr>
            </w:pPr>
            <w:proofErr w:type="spellStart"/>
            <w:r w:rsidRPr="000F216B">
              <w:rPr>
                <w:rFonts w:ascii="Times New Roman" w:hAnsi="Times New Roman" w:cs="Times New Roman"/>
                <w:sz w:val="18"/>
                <w:szCs w:val="18"/>
              </w:rPr>
              <w:t>Lateef</w:t>
            </w:r>
            <w:proofErr w:type="spellEnd"/>
            <w:r w:rsidRPr="000F216B">
              <w:rPr>
                <w:rFonts w:ascii="Times New Roman" w:hAnsi="Times New Roman" w:cs="Times New Roman"/>
                <w:sz w:val="18"/>
                <w:szCs w:val="18"/>
              </w:rPr>
              <w:t xml:space="preserve">, 2010; S. </w:t>
            </w:r>
            <w:proofErr w:type="spellStart"/>
            <w:r w:rsidRPr="000F216B">
              <w:rPr>
                <w:rFonts w:ascii="Times New Roman" w:hAnsi="Times New Roman" w:cs="Times New Roman"/>
                <w:sz w:val="18"/>
                <w:szCs w:val="18"/>
              </w:rPr>
              <w:t>Liaw</w:t>
            </w:r>
            <w:proofErr w:type="spellEnd"/>
            <w:r w:rsidRPr="000F216B">
              <w:rPr>
                <w:rFonts w:ascii="Times New Roman" w:hAnsi="Times New Roman" w:cs="Times New Roman"/>
                <w:sz w:val="18"/>
                <w:szCs w:val="18"/>
              </w:rPr>
              <w:t xml:space="preserve"> et al., 2020 </w:t>
            </w:r>
            <w:r w:rsidRPr="000F216B">
              <w:rPr>
                <w:rFonts w:ascii="Times New Roman" w:hAnsi="Times New Roman" w:cs="Times New Roman"/>
                <w:sz w:val="18"/>
                <w:szCs w:val="18"/>
                <w:lang w:val="en-US"/>
              </w:rPr>
              <w:fldChar w:fldCharType="end"/>
            </w:r>
          </w:p>
          <w:p w14:paraId="42B746D7" w14:textId="77777777" w:rsidR="00F53AF4" w:rsidRPr="000F216B" w:rsidRDefault="00F53AF4" w:rsidP="00867DE1">
            <w:pPr>
              <w:spacing w:line="360" w:lineRule="auto"/>
              <w:jc w:val="both"/>
              <w:rPr>
                <w:rFonts w:ascii="Times New Roman" w:hAnsi="Times New Roman" w:cs="Times New Roman"/>
                <w:sz w:val="18"/>
                <w:szCs w:val="18"/>
              </w:rPr>
            </w:pPr>
            <w:proofErr w:type="spellStart"/>
            <w:r w:rsidRPr="000F216B">
              <w:rPr>
                <w:rFonts w:ascii="Times New Roman" w:hAnsi="Times New Roman" w:cs="Times New Roman"/>
                <w:sz w:val="18"/>
                <w:szCs w:val="18"/>
              </w:rPr>
              <w:t>Elendu</w:t>
            </w:r>
            <w:proofErr w:type="spellEnd"/>
            <w:r w:rsidRPr="000F216B">
              <w:rPr>
                <w:rFonts w:ascii="Times New Roman" w:hAnsi="Times New Roman" w:cs="Times New Roman"/>
                <w:sz w:val="18"/>
                <w:szCs w:val="18"/>
              </w:rPr>
              <w:t xml:space="preserve"> et al., 2024; </w:t>
            </w:r>
          </w:p>
          <w:p w14:paraId="0C258B69" w14:textId="77777777" w:rsidR="00F53AF4" w:rsidRPr="000F216B" w:rsidRDefault="00F53AF4" w:rsidP="00867DE1">
            <w:pPr>
              <w:spacing w:line="360" w:lineRule="auto"/>
              <w:jc w:val="both"/>
              <w:rPr>
                <w:rFonts w:ascii="Times New Roman" w:hAnsi="Times New Roman" w:cs="Times New Roman"/>
                <w:sz w:val="18"/>
                <w:szCs w:val="18"/>
              </w:rPr>
            </w:pPr>
            <w:proofErr w:type="spellStart"/>
            <w:r w:rsidRPr="000F216B">
              <w:rPr>
                <w:rFonts w:ascii="Times New Roman" w:hAnsi="Times New Roman" w:cs="Times New Roman"/>
                <w:sz w:val="18"/>
                <w:szCs w:val="18"/>
              </w:rPr>
              <w:t>Pottle</w:t>
            </w:r>
            <w:proofErr w:type="spellEnd"/>
            <w:r w:rsidRPr="000F216B">
              <w:rPr>
                <w:rFonts w:ascii="Times New Roman" w:hAnsi="Times New Roman" w:cs="Times New Roman"/>
                <w:sz w:val="18"/>
                <w:szCs w:val="18"/>
              </w:rPr>
              <w:t>, 2019; Wang &amp; Li, 2024</w:t>
            </w:r>
          </w:p>
        </w:tc>
      </w:tr>
    </w:tbl>
    <w:p w14:paraId="4BEB21E5" w14:textId="77777777" w:rsidR="005A6BB9" w:rsidRDefault="005A6BB9"/>
    <w:sectPr w:rsidR="005A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F4"/>
    <w:rsid w:val="000F216B"/>
    <w:rsid w:val="00407E2F"/>
    <w:rsid w:val="005A6BB9"/>
    <w:rsid w:val="009607E6"/>
    <w:rsid w:val="00F53A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3B97"/>
  <w15:chartTrackingRefBased/>
  <w15:docId w15:val="{13DB7816-48EC-43BA-8977-E1F432EE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F4"/>
  </w:style>
  <w:style w:type="paragraph" w:styleId="Overskrift1">
    <w:name w:val="heading 1"/>
    <w:basedOn w:val="Normal"/>
    <w:next w:val="Normal"/>
    <w:link w:val="Overskrift1Tegn"/>
    <w:uiPriority w:val="9"/>
    <w:qFormat/>
    <w:rsid w:val="00F53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53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53AF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53AF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53AF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53AF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3AF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3AF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3AF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53AF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53AF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53AF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53AF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53AF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53AF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53AF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53AF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53AF4"/>
    <w:rPr>
      <w:rFonts w:eastAsiaTheme="majorEastAsia" w:cstheme="majorBidi"/>
      <w:color w:val="272727" w:themeColor="text1" w:themeTint="D8"/>
    </w:rPr>
  </w:style>
  <w:style w:type="paragraph" w:styleId="Tittel">
    <w:name w:val="Title"/>
    <w:basedOn w:val="Normal"/>
    <w:next w:val="Normal"/>
    <w:link w:val="TittelTegn"/>
    <w:uiPriority w:val="10"/>
    <w:qFormat/>
    <w:rsid w:val="00F53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53AF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53AF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53AF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53AF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53AF4"/>
    <w:rPr>
      <w:i/>
      <w:iCs/>
      <w:color w:val="404040" w:themeColor="text1" w:themeTint="BF"/>
    </w:rPr>
  </w:style>
  <w:style w:type="paragraph" w:styleId="Listeavsnitt">
    <w:name w:val="List Paragraph"/>
    <w:basedOn w:val="Normal"/>
    <w:uiPriority w:val="34"/>
    <w:qFormat/>
    <w:rsid w:val="00F53AF4"/>
    <w:pPr>
      <w:ind w:left="720"/>
      <w:contextualSpacing/>
    </w:pPr>
  </w:style>
  <w:style w:type="character" w:styleId="Sterkutheving">
    <w:name w:val="Intense Emphasis"/>
    <w:basedOn w:val="Standardskriftforavsnitt"/>
    <w:uiPriority w:val="21"/>
    <w:qFormat/>
    <w:rsid w:val="00F53AF4"/>
    <w:rPr>
      <w:i/>
      <w:iCs/>
      <w:color w:val="0F4761" w:themeColor="accent1" w:themeShade="BF"/>
    </w:rPr>
  </w:style>
  <w:style w:type="paragraph" w:styleId="Sterktsitat">
    <w:name w:val="Intense Quote"/>
    <w:basedOn w:val="Normal"/>
    <w:next w:val="Normal"/>
    <w:link w:val="SterktsitatTegn"/>
    <w:uiPriority w:val="30"/>
    <w:qFormat/>
    <w:rsid w:val="00F53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53AF4"/>
    <w:rPr>
      <w:i/>
      <w:iCs/>
      <w:color w:val="0F4761" w:themeColor="accent1" w:themeShade="BF"/>
    </w:rPr>
  </w:style>
  <w:style w:type="character" w:styleId="Sterkreferanse">
    <w:name w:val="Intense Reference"/>
    <w:basedOn w:val="Standardskriftforavsnitt"/>
    <w:uiPriority w:val="32"/>
    <w:qFormat/>
    <w:rsid w:val="00F53A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3628</Words>
  <Characters>19230</Characters>
  <Application>Microsoft Office Word</Application>
  <DocSecurity>0</DocSecurity>
  <Lines>160</Lines>
  <Paragraphs>45</Paragraphs>
  <ScaleCrop>false</ScaleCrop>
  <Company/>
  <LinksUpToDate>false</LinksUpToDate>
  <CharactersWithSpaces>22813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Aoudi Chance</dc:creator>
  <cp:keywords/>
  <dc:description/>
  <cp:lastModifiedBy>Emmanuel Aoudi Chance</cp:lastModifiedBy>
  <cp:revision>2</cp:revision>
  <dcterms:created xsi:type="dcterms:W3CDTF">2024-11-07T14:47:00Z</dcterms:created>
  <dcterms:modified xsi:type="dcterms:W3CDTF">2024-11-07T15:06:00Z</dcterms:modified>
</cp:coreProperties>
</file>