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EA3F99" w14:textId="77777777" w:rsidR="00123053" w:rsidRPr="004C2748" w:rsidRDefault="00123053" w:rsidP="00123053">
      <w:pPr>
        <w:spacing w:line="360" w:lineRule="auto"/>
        <w:jc w:val="both"/>
        <w:rPr>
          <w:rFonts w:ascii="Times New Roman" w:hAnsi="Times New Roman" w:cs="Times New Roman"/>
          <w:b/>
          <w:bCs/>
          <w:lang w:val="en-US"/>
        </w:rPr>
      </w:pPr>
      <w:r w:rsidRPr="004C2748">
        <w:rPr>
          <w:rFonts w:ascii="Times New Roman" w:hAnsi="Times New Roman" w:cs="Times New Roman"/>
          <w:b/>
          <w:bCs/>
          <w:lang w:val="en-US"/>
        </w:rPr>
        <w:t>Table 2: Adaptive Learning</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30"/>
        <w:gridCol w:w="1621"/>
        <w:gridCol w:w="4327"/>
        <w:gridCol w:w="1984"/>
      </w:tblGrid>
      <w:tr w:rsidR="00123053" w:rsidRPr="00292D05" w14:paraId="7C189D1F" w14:textId="77777777" w:rsidTr="00867DE1">
        <w:trPr>
          <w:tblHeader/>
          <w:tblCellSpacing w:w="15" w:type="dxa"/>
        </w:trPr>
        <w:tc>
          <w:tcPr>
            <w:tcW w:w="0" w:type="auto"/>
            <w:vAlign w:val="center"/>
            <w:hideMark/>
          </w:tcPr>
          <w:p w14:paraId="7F96B91A" w14:textId="77777777" w:rsidR="00123053" w:rsidRPr="00292D05" w:rsidRDefault="00123053" w:rsidP="00867DE1">
            <w:pPr>
              <w:spacing w:line="360" w:lineRule="auto"/>
              <w:jc w:val="both"/>
              <w:rPr>
                <w:rFonts w:ascii="Times New Roman" w:hAnsi="Times New Roman" w:cs="Times New Roman"/>
                <w:b/>
                <w:bCs/>
                <w:sz w:val="18"/>
                <w:szCs w:val="18"/>
              </w:rPr>
            </w:pPr>
            <w:proofErr w:type="spellStart"/>
            <w:r w:rsidRPr="00292D05">
              <w:rPr>
                <w:rFonts w:ascii="Times New Roman" w:hAnsi="Times New Roman" w:cs="Times New Roman"/>
                <w:b/>
                <w:bCs/>
                <w:sz w:val="18"/>
                <w:szCs w:val="18"/>
              </w:rPr>
              <w:t>Category</w:t>
            </w:r>
            <w:proofErr w:type="spellEnd"/>
          </w:p>
        </w:tc>
        <w:tc>
          <w:tcPr>
            <w:tcW w:w="0" w:type="auto"/>
            <w:vAlign w:val="center"/>
            <w:hideMark/>
          </w:tcPr>
          <w:p w14:paraId="5448298F" w14:textId="77777777" w:rsidR="00123053" w:rsidRPr="00292D05" w:rsidRDefault="00123053" w:rsidP="00867DE1">
            <w:pPr>
              <w:spacing w:line="360" w:lineRule="auto"/>
              <w:jc w:val="both"/>
              <w:rPr>
                <w:rFonts w:ascii="Times New Roman" w:hAnsi="Times New Roman" w:cs="Times New Roman"/>
                <w:b/>
                <w:bCs/>
                <w:sz w:val="18"/>
                <w:szCs w:val="18"/>
              </w:rPr>
            </w:pPr>
            <w:proofErr w:type="spellStart"/>
            <w:r w:rsidRPr="00292D05">
              <w:rPr>
                <w:rFonts w:ascii="Times New Roman" w:hAnsi="Times New Roman" w:cs="Times New Roman"/>
                <w:b/>
                <w:bCs/>
                <w:sz w:val="18"/>
                <w:szCs w:val="18"/>
              </w:rPr>
              <w:t>Subcategory</w:t>
            </w:r>
            <w:proofErr w:type="spellEnd"/>
          </w:p>
        </w:tc>
        <w:tc>
          <w:tcPr>
            <w:tcW w:w="0" w:type="auto"/>
            <w:vAlign w:val="center"/>
            <w:hideMark/>
          </w:tcPr>
          <w:p w14:paraId="6F6F2A63" w14:textId="77777777" w:rsidR="00123053" w:rsidRPr="00292D05" w:rsidRDefault="00123053" w:rsidP="00867DE1">
            <w:pPr>
              <w:spacing w:line="360" w:lineRule="auto"/>
              <w:jc w:val="both"/>
              <w:rPr>
                <w:rFonts w:ascii="Times New Roman" w:hAnsi="Times New Roman" w:cs="Times New Roman"/>
                <w:b/>
                <w:bCs/>
                <w:sz w:val="18"/>
                <w:szCs w:val="18"/>
              </w:rPr>
            </w:pPr>
            <w:proofErr w:type="spellStart"/>
            <w:r w:rsidRPr="00292D05">
              <w:rPr>
                <w:rFonts w:ascii="Times New Roman" w:hAnsi="Times New Roman" w:cs="Times New Roman"/>
                <w:b/>
                <w:bCs/>
                <w:sz w:val="18"/>
                <w:szCs w:val="18"/>
              </w:rPr>
              <w:t>Findings</w:t>
            </w:r>
            <w:proofErr w:type="spellEnd"/>
          </w:p>
        </w:tc>
        <w:tc>
          <w:tcPr>
            <w:tcW w:w="0" w:type="auto"/>
            <w:vAlign w:val="center"/>
            <w:hideMark/>
          </w:tcPr>
          <w:p w14:paraId="16BA1732" w14:textId="77777777" w:rsidR="00123053" w:rsidRPr="00292D05" w:rsidRDefault="00123053" w:rsidP="00867DE1">
            <w:pPr>
              <w:spacing w:line="360" w:lineRule="auto"/>
              <w:jc w:val="both"/>
              <w:rPr>
                <w:rFonts w:ascii="Times New Roman" w:hAnsi="Times New Roman" w:cs="Times New Roman"/>
                <w:b/>
                <w:bCs/>
                <w:sz w:val="18"/>
                <w:szCs w:val="18"/>
              </w:rPr>
            </w:pPr>
            <w:r w:rsidRPr="00292D05">
              <w:rPr>
                <w:rFonts w:ascii="Times New Roman" w:hAnsi="Times New Roman" w:cs="Times New Roman"/>
                <w:b/>
                <w:bCs/>
                <w:sz w:val="18"/>
                <w:szCs w:val="18"/>
              </w:rPr>
              <w:t>Authors</w:t>
            </w:r>
          </w:p>
        </w:tc>
      </w:tr>
      <w:tr w:rsidR="00123053" w:rsidRPr="00292D05" w14:paraId="4AAB7331" w14:textId="77777777" w:rsidTr="00867DE1">
        <w:trPr>
          <w:tblCellSpacing w:w="15" w:type="dxa"/>
        </w:trPr>
        <w:tc>
          <w:tcPr>
            <w:tcW w:w="0" w:type="auto"/>
            <w:vAlign w:val="center"/>
            <w:hideMark/>
          </w:tcPr>
          <w:p w14:paraId="5750A4CC" w14:textId="77777777" w:rsidR="00123053" w:rsidRPr="00292D05" w:rsidRDefault="00123053" w:rsidP="00867DE1">
            <w:pPr>
              <w:spacing w:line="360" w:lineRule="auto"/>
              <w:jc w:val="both"/>
              <w:rPr>
                <w:rFonts w:ascii="Times New Roman" w:hAnsi="Times New Roman" w:cs="Times New Roman"/>
                <w:b/>
                <w:bCs/>
                <w:sz w:val="18"/>
                <w:szCs w:val="18"/>
              </w:rPr>
            </w:pPr>
            <w:r w:rsidRPr="00292D05">
              <w:rPr>
                <w:rFonts w:ascii="Times New Roman" w:hAnsi="Times New Roman" w:cs="Times New Roman"/>
                <w:b/>
                <w:bCs/>
                <w:sz w:val="18"/>
                <w:szCs w:val="18"/>
              </w:rPr>
              <w:t>Adaptive Learning</w:t>
            </w:r>
          </w:p>
        </w:tc>
        <w:tc>
          <w:tcPr>
            <w:tcW w:w="0" w:type="auto"/>
            <w:vAlign w:val="center"/>
            <w:hideMark/>
          </w:tcPr>
          <w:p w14:paraId="4BCF0DBC" w14:textId="77777777" w:rsidR="00123053" w:rsidRPr="00292D05" w:rsidRDefault="00123053" w:rsidP="00867DE1">
            <w:pPr>
              <w:spacing w:line="360" w:lineRule="auto"/>
              <w:jc w:val="both"/>
              <w:rPr>
                <w:rFonts w:ascii="Times New Roman" w:hAnsi="Times New Roman" w:cs="Times New Roman"/>
                <w:b/>
                <w:bCs/>
                <w:sz w:val="18"/>
                <w:szCs w:val="18"/>
              </w:rPr>
            </w:pPr>
            <w:r w:rsidRPr="00292D05">
              <w:rPr>
                <w:rFonts w:ascii="Times New Roman" w:hAnsi="Times New Roman" w:cs="Times New Roman"/>
                <w:b/>
                <w:bCs/>
                <w:sz w:val="18"/>
                <w:szCs w:val="18"/>
              </w:rPr>
              <w:t xml:space="preserve">AI-driven </w:t>
            </w:r>
            <w:proofErr w:type="spellStart"/>
            <w:r w:rsidRPr="00292D05">
              <w:rPr>
                <w:rFonts w:ascii="Times New Roman" w:hAnsi="Times New Roman" w:cs="Times New Roman"/>
                <w:b/>
                <w:bCs/>
                <w:sz w:val="18"/>
                <w:szCs w:val="18"/>
              </w:rPr>
              <w:t>Personalization</w:t>
            </w:r>
            <w:proofErr w:type="spellEnd"/>
          </w:p>
        </w:tc>
        <w:tc>
          <w:tcPr>
            <w:tcW w:w="0" w:type="auto"/>
            <w:vAlign w:val="center"/>
            <w:hideMark/>
          </w:tcPr>
          <w:p w14:paraId="614EC727" w14:textId="77777777" w:rsidR="00123053" w:rsidRPr="00292D05" w:rsidRDefault="00123053" w:rsidP="00867DE1">
            <w:pPr>
              <w:spacing w:line="360" w:lineRule="auto"/>
              <w:jc w:val="both"/>
              <w:rPr>
                <w:rFonts w:ascii="Times New Roman" w:hAnsi="Times New Roman" w:cs="Times New Roman"/>
                <w:b/>
                <w:bCs/>
                <w:sz w:val="18"/>
                <w:szCs w:val="18"/>
                <w:lang w:val="en-US"/>
              </w:rPr>
            </w:pPr>
            <w:r w:rsidRPr="00292D05">
              <w:rPr>
                <w:rFonts w:ascii="Times New Roman" w:hAnsi="Times New Roman" w:cs="Times New Roman"/>
                <w:b/>
                <w:bCs/>
                <w:sz w:val="18"/>
                <w:szCs w:val="18"/>
                <w:lang w:val="en-US"/>
              </w:rPr>
              <w:t>AI tailors VR simulations to individual performance, enhancing skill acquisition and addressing weaknesses.</w:t>
            </w:r>
          </w:p>
        </w:tc>
        <w:tc>
          <w:tcPr>
            <w:tcW w:w="0" w:type="auto"/>
            <w:vAlign w:val="center"/>
            <w:hideMark/>
          </w:tcPr>
          <w:p w14:paraId="263B058D" w14:textId="77777777" w:rsidR="00123053" w:rsidRPr="00292D05" w:rsidRDefault="00123053" w:rsidP="00867DE1">
            <w:pPr>
              <w:spacing w:line="360" w:lineRule="auto"/>
              <w:jc w:val="both"/>
              <w:rPr>
                <w:rFonts w:ascii="Times New Roman" w:hAnsi="Times New Roman" w:cs="Times New Roman"/>
                <w:sz w:val="18"/>
                <w:szCs w:val="18"/>
              </w:rPr>
            </w:pPr>
            <w:r w:rsidRPr="00292D05">
              <w:rPr>
                <w:rFonts w:ascii="Times New Roman" w:hAnsi="Times New Roman" w:cs="Times New Roman"/>
                <w:sz w:val="18"/>
                <w:szCs w:val="18"/>
                <w:lang w:val="en-US"/>
              </w:rPr>
              <w:fldChar w:fldCharType="begin"/>
            </w:r>
            <w:r w:rsidRPr="00292D05">
              <w:rPr>
                <w:rFonts w:ascii="Times New Roman" w:hAnsi="Times New Roman" w:cs="Times New Roman"/>
                <w:sz w:val="18"/>
                <w:szCs w:val="18"/>
                <w:lang w:val="en-US"/>
              </w:rPr>
              <w:instrText xml:space="preserve"> ADDIN ZOTERO_ITEM CSL_CITATION {"citationID":"yxr8FBFo","properties":{"formattedCitation":"(Gallagher et al., 2005; Giannakos et al., 2024; Liu et al., 2023)","plainCitation":"(Gallagher et al., 2005; Giannakos et al., 2024; Liu et al., 2023)","dontUpdate":true,"noteIndex":0},"citationItems":[{"id":2179,"uris":["http://zotero.org/users/10512605/items/PU6GZBAA"],"itemData":{"id":2179,"type":"article-journal","container-title":"Annals of Surgery","DOI":"10.1097/01.sla.0000151982.85062.80","ISSN":"0003-4932","issue":"2","language":"en","page":"364-372","source":"DOI.org (Crossref)","title":"Virtual Reality Simulation for the Operating Room: Proficiency-Based Training as a Paradigm Shift in Surgical Skills Training","title-short":"Virtual Reality Simulation for the Operating Room","volume":"241","author":[{"family":"Gallagher","given":"Anthony G."},{"family":"Ritter","given":"E Matt"},{"family":"Champion","given":"Howard"},{"family":"Higgins","given":"Gerald"},{"family":"Fried","given":"Marvin P."},{"family":"Moses","given":"Gerald"},{"family":"Smith","given":"C Daniel"},{"family":"Satava","given":"Richard M."}],"issued":{"date-parts":[["2005",2]]}}},{"id":2182,"uris":["http://zotero.org/users/10512605/items/ABM4JDK9"],"itemData":{"id":2182,"type":"article-journal","container-title":"Behaviour &amp; Information Technology","DOI":"10.1080/0144929X.2024.2394886","ISSN":"0144-929X, 1362-3001","journalAbbreviation":"Behaviour &amp; Information Technology","language":"en","page":"1-27","source":"DOI.org (Crossref)","title":"The promise a</w:instrText>
            </w:r>
            <w:r w:rsidRPr="00292D05">
              <w:rPr>
                <w:rFonts w:ascii="Times New Roman" w:hAnsi="Times New Roman" w:cs="Times New Roman"/>
                <w:sz w:val="18"/>
                <w:szCs w:val="18"/>
              </w:rPr>
              <w:instrText xml:space="preserve">nd challenges of generative AI in education","author":[{"family":"Giannakos","given":"Michail"},{"family":"Azevedo","given":"Roger"},{"family":"Brusilovsky","given":"Peter"},{"family":"Cukurova","given":"Mutlu"},{"family":"Dimitriadis","given":"Yannis"},{"family":"Hernandez-Leo","given":"Davinia"},{"family":"Järvelä","given":"Sanna"},{"family":"Mavrikis","given":"Manolis"},{"family":"Rienties","given":"Bart"}],"issued":{"date-parts":[["2024",9,2]]}}},{"id":2115,"uris":["http://zotero.org/users/10512605/items/2DXWBUXP"],"itemData":{"id":2115,"type":"article-journal","abstract":"This study aims to assess the transformative potential of Virtual Reality (VR) has shown significant potential in transforming nursing education by providing immersive and interactive learning experiences. Our objective is to systematically evaluate ...","container-title":"BMC Medical Education","DOI":"10.1186/s12909-023-04662-x","language":"en","note":"PMID: 37770884","page":"710","source":"pmc.ncbi.nlm.nih.gov","title":"Effectiveness of virtual reality in nursing education: a systematic review and meta-analysis","title-short":"Effectiveness of virtual reality in nursing education","volume":"23","author":[{"family":"Liu","given":"Kai"},{"family":"Zhang","given":"Weiwei"},{"family":"Li","given":"Wei"},{"family":"Wang","given":"Ting"},{"family":"Zheng","given":"Yanxue"}],"issued":{"date-parts":[["2023",9,28]]}}}],"schema":"https://github.com/citation-style-language/schema/raw/master/csl-citation.json"} </w:instrText>
            </w:r>
            <w:r w:rsidRPr="00292D05">
              <w:rPr>
                <w:rFonts w:ascii="Times New Roman" w:hAnsi="Times New Roman" w:cs="Times New Roman"/>
                <w:sz w:val="18"/>
                <w:szCs w:val="18"/>
                <w:lang w:val="en-US"/>
              </w:rPr>
              <w:fldChar w:fldCharType="separate"/>
            </w:r>
            <w:r w:rsidRPr="00292D05">
              <w:rPr>
                <w:rFonts w:ascii="Times New Roman" w:hAnsi="Times New Roman" w:cs="Times New Roman"/>
                <w:sz w:val="18"/>
                <w:szCs w:val="18"/>
              </w:rPr>
              <w:t xml:space="preserve">Gallagher et al., 2005 </w:t>
            </w:r>
          </w:p>
          <w:p w14:paraId="4150B8A8" w14:textId="77777777" w:rsidR="00123053" w:rsidRPr="00292D05" w:rsidRDefault="00123053" w:rsidP="00867DE1">
            <w:pPr>
              <w:spacing w:line="360" w:lineRule="auto"/>
              <w:jc w:val="both"/>
              <w:rPr>
                <w:rFonts w:ascii="Times New Roman" w:hAnsi="Times New Roman" w:cs="Times New Roman"/>
                <w:sz w:val="18"/>
                <w:szCs w:val="18"/>
              </w:rPr>
            </w:pPr>
            <w:proofErr w:type="spellStart"/>
            <w:r w:rsidRPr="00292D05">
              <w:rPr>
                <w:rFonts w:ascii="Times New Roman" w:hAnsi="Times New Roman" w:cs="Times New Roman"/>
                <w:sz w:val="18"/>
                <w:szCs w:val="18"/>
              </w:rPr>
              <w:t>Giannakos</w:t>
            </w:r>
            <w:proofErr w:type="spellEnd"/>
            <w:r w:rsidRPr="00292D05">
              <w:rPr>
                <w:rFonts w:ascii="Times New Roman" w:hAnsi="Times New Roman" w:cs="Times New Roman"/>
                <w:sz w:val="18"/>
                <w:szCs w:val="18"/>
              </w:rPr>
              <w:t xml:space="preserve"> et al. 2024; </w:t>
            </w:r>
          </w:p>
          <w:p w14:paraId="50C8D4FB" w14:textId="77777777" w:rsidR="00123053" w:rsidRPr="00292D05" w:rsidRDefault="00123053" w:rsidP="00867DE1">
            <w:pPr>
              <w:spacing w:line="360" w:lineRule="auto"/>
              <w:jc w:val="both"/>
              <w:rPr>
                <w:rFonts w:ascii="Times New Roman" w:hAnsi="Times New Roman" w:cs="Times New Roman"/>
                <w:sz w:val="18"/>
                <w:szCs w:val="18"/>
              </w:rPr>
            </w:pPr>
            <w:r w:rsidRPr="00292D05">
              <w:rPr>
                <w:rFonts w:ascii="Times New Roman" w:hAnsi="Times New Roman" w:cs="Times New Roman"/>
                <w:sz w:val="18"/>
                <w:szCs w:val="18"/>
              </w:rPr>
              <w:t>Liu et al., 2023</w:t>
            </w:r>
            <w:r w:rsidRPr="00292D05">
              <w:rPr>
                <w:rFonts w:ascii="Times New Roman" w:hAnsi="Times New Roman" w:cs="Times New Roman"/>
                <w:sz w:val="18"/>
                <w:szCs w:val="18"/>
                <w:lang w:val="en-US"/>
              </w:rPr>
              <w:fldChar w:fldCharType="end"/>
            </w:r>
            <w:r w:rsidRPr="00292D05">
              <w:rPr>
                <w:rFonts w:ascii="Times New Roman" w:hAnsi="Times New Roman" w:cs="Times New Roman"/>
                <w:sz w:val="18"/>
                <w:szCs w:val="18"/>
              </w:rPr>
              <w:t xml:space="preserve"> </w:t>
            </w:r>
          </w:p>
          <w:p w14:paraId="439F73C1" w14:textId="77777777" w:rsidR="00123053" w:rsidRPr="00292D05" w:rsidRDefault="00123053" w:rsidP="00867DE1">
            <w:pPr>
              <w:spacing w:line="360" w:lineRule="auto"/>
              <w:jc w:val="both"/>
              <w:rPr>
                <w:rFonts w:ascii="Times New Roman" w:hAnsi="Times New Roman" w:cs="Times New Roman"/>
                <w:sz w:val="18"/>
                <w:szCs w:val="18"/>
              </w:rPr>
            </w:pPr>
            <w:r w:rsidRPr="00292D05">
              <w:rPr>
                <w:rFonts w:ascii="Times New Roman" w:hAnsi="Times New Roman" w:cs="Times New Roman"/>
                <w:sz w:val="18"/>
                <w:szCs w:val="18"/>
              </w:rPr>
              <w:t xml:space="preserve">Chan &amp; </w:t>
            </w:r>
            <w:proofErr w:type="spellStart"/>
            <w:r w:rsidRPr="00292D05">
              <w:rPr>
                <w:rFonts w:ascii="Times New Roman" w:hAnsi="Times New Roman" w:cs="Times New Roman"/>
                <w:sz w:val="18"/>
                <w:szCs w:val="18"/>
              </w:rPr>
              <w:t>Zary</w:t>
            </w:r>
            <w:proofErr w:type="spellEnd"/>
            <w:r w:rsidRPr="00292D05">
              <w:rPr>
                <w:rFonts w:ascii="Times New Roman" w:hAnsi="Times New Roman" w:cs="Times New Roman"/>
                <w:sz w:val="18"/>
                <w:szCs w:val="18"/>
              </w:rPr>
              <w:t xml:space="preserve">, 2019; </w:t>
            </w:r>
            <w:proofErr w:type="spellStart"/>
            <w:r w:rsidRPr="00292D05">
              <w:rPr>
                <w:rFonts w:ascii="Times New Roman" w:hAnsi="Times New Roman" w:cs="Times New Roman"/>
                <w:sz w:val="18"/>
                <w:szCs w:val="18"/>
              </w:rPr>
              <w:t>Esmaeilzadeh</w:t>
            </w:r>
            <w:proofErr w:type="spellEnd"/>
            <w:r w:rsidRPr="00292D05">
              <w:rPr>
                <w:rFonts w:ascii="Times New Roman" w:hAnsi="Times New Roman" w:cs="Times New Roman"/>
                <w:sz w:val="18"/>
                <w:szCs w:val="18"/>
              </w:rPr>
              <w:t xml:space="preserve">, 2024; </w:t>
            </w:r>
          </w:p>
          <w:p w14:paraId="57289365" w14:textId="77777777" w:rsidR="00123053" w:rsidRPr="00292D05" w:rsidRDefault="00123053" w:rsidP="00867DE1">
            <w:pPr>
              <w:spacing w:line="360" w:lineRule="auto"/>
              <w:jc w:val="both"/>
              <w:rPr>
                <w:rFonts w:ascii="Times New Roman" w:hAnsi="Times New Roman" w:cs="Times New Roman"/>
                <w:b/>
                <w:bCs/>
                <w:sz w:val="18"/>
                <w:szCs w:val="18"/>
              </w:rPr>
            </w:pPr>
            <w:proofErr w:type="spellStart"/>
            <w:r w:rsidRPr="00292D05">
              <w:rPr>
                <w:rFonts w:ascii="Times New Roman" w:hAnsi="Times New Roman" w:cs="Times New Roman"/>
                <w:sz w:val="18"/>
                <w:szCs w:val="18"/>
              </w:rPr>
              <w:t>Halbig</w:t>
            </w:r>
            <w:proofErr w:type="spellEnd"/>
            <w:r w:rsidRPr="00292D05">
              <w:rPr>
                <w:rFonts w:ascii="Times New Roman" w:hAnsi="Times New Roman" w:cs="Times New Roman"/>
                <w:sz w:val="18"/>
                <w:szCs w:val="18"/>
              </w:rPr>
              <w:t xml:space="preserve"> et al., 2022</w:t>
            </w:r>
          </w:p>
        </w:tc>
      </w:tr>
      <w:tr w:rsidR="00123053" w:rsidRPr="00292D05" w14:paraId="2A96E05A" w14:textId="77777777" w:rsidTr="00867DE1">
        <w:trPr>
          <w:tblCellSpacing w:w="15" w:type="dxa"/>
        </w:trPr>
        <w:tc>
          <w:tcPr>
            <w:tcW w:w="0" w:type="auto"/>
            <w:vAlign w:val="center"/>
            <w:hideMark/>
          </w:tcPr>
          <w:p w14:paraId="2E6EEF0D" w14:textId="77777777" w:rsidR="00123053" w:rsidRPr="00292D05" w:rsidRDefault="00123053" w:rsidP="00867DE1">
            <w:pPr>
              <w:spacing w:line="360" w:lineRule="auto"/>
              <w:jc w:val="both"/>
              <w:rPr>
                <w:rFonts w:ascii="Times New Roman" w:hAnsi="Times New Roman" w:cs="Times New Roman"/>
                <w:b/>
                <w:bCs/>
                <w:sz w:val="18"/>
                <w:szCs w:val="18"/>
                <w:lang w:val="en-US"/>
              </w:rPr>
            </w:pPr>
            <w:r w:rsidRPr="00292D05">
              <w:rPr>
                <w:rFonts w:ascii="Times New Roman" w:hAnsi="Times New Roman" w:cs="Times New Roman"/>
                <w:b/>
                <w:bCs/>
                <w:sz w:val="18"/>
                <w:szCs w:val="18"/>
                <w:lang w:val="en-US"/>
              </w:rPr>
              <w:t>Adaptive Learning</w:t>
            </w:r>
          </w:p>
        </w:tc>
        <w:tc>
          <w:tcPr>
            <w:tcW w:w="0" w:type="auto"/>
            <w:vAlign w:val="center"/>
            <w:hideMark/>
          </w:tcPr>
          <w:p w14:paraId="70D58DCD" w14:textId="77777777" w:rsidR="00123053" w:rsidRPr="00292D05" w:rsidRDefault="00123053" w:rsidP="00867DE1">
            <w:pPr>
              <w:spacing w:line="360" w:lineRule="auto"/>
              <w:jc w:val="both"/>
              <w:rPr>
                <w:rFonts w:ascii="Times New Roman" w:hAnsi="Times New Roman" w:cs="Times New Roman"/>
                <w:b/>
                <w:bCs/>
                <w:sz w:val="18"/>
                <w:szCs w:val="18"/>
                <w:lang w:val="en-US"/>
              </w:rPr>
            </w:pPr>
            <w:r w:rsidRPr="00292D05">
              <w:rPr>
                <w:rFonts w:ascii="Times New Roman" w:hAnsi="Times New Roman" w:cs="Times New Roman"/>
                <w:b/>
                <w:bCs/>
                <w:sz w:val="18"/>
                <w:szCs w:val="18"/>
                <w:lang w:val="en-US"/>
              </w:rPr>
              <w:t>Customized Feedback</w:t>
            </w:r>
          </w:p>
        </w:tc>
        <w:tc>
          <w:tcPr>
            <w:tcW w:w="0" w:type="auto"/>
            <w:vAlign w:val="center"/>
            <w:hideMark/>
          </w:tcPr>
          <w:p w14:paraId="4BADE7A2" w14:textId="77777777" w:rsidR="00123053" w:rsidRPr="00292D05" w:rsidRDefault="00123053" w:rsidP="00867DE1">
            <w:pPr>
              <w:spacing w:line="360" w:lineRule="auto"/>
              <w:jc w:val="both"/>
              <w:rPr>
                <w:rFonts w:ascii="Times New Roman" w:hAnsi="Times New Roman" w:cs="Times New Roman"/>
                <w:b/>
                <w:bCs/>
                <w:sz w:val="18"/>
                <w:szCs w:val="18"/>
                <w:lang w:val="en-US"/>
              </w:rPr>
            </w:pPr>
            <w:r w:rsidRPr="00292D05">
              <w:rPr>
                <w:rFonts w:ascii="Times New Roman" w:hAnsi="Times New Roman" w:cs="Times New Roman"/>
                <w:b/>
                <w:bCs/>
                <w:sz w:val="18"/>
                <w:szCs w:val="18"/>
                <w:lang w:val="en-US"/>
              </w:rPr>
              <w:t>AI provides real-time, targeted feedback, improving students’ skills and awareness of patient safety risks.</w:t>
            </w:r>
          </w:p>
        </w:tc>
        <w:tc>
          <w:tcPr>
            <w:tcW w:w="0" w:type="auto"/>
            <w:vAlign w:val="center"/>
            <w:hideMark/>
          </w:tcPr>
          <w:p w14:paraId="699C1CEC" w14:textId="77777777" w:rsidR="00123053" w:rsidRPr="00292D05" w:rsidRDefault="00123053" w:rsidP="00867DE1">
            <w:pPr>
              <w:spacing w:line="360" w:lineRule="auto"/>
              <w:jc w:val="both"/>
              <w:rPr>
                <w:rFonts w:ascii="Times New Roman" w:hAnsi="Times New Roman" w:cs="Times New Roman"/>
                <w:sz w:val="18"/>
                <w:szCs w:val="18"/>
                <w:lang w:val="en-US"/>
              </w:rPr>
            </w:pPr>
            <w:r w:rsidRPr="00292D05">
              <w:rPr>
                <w:rFonts w:ascii="Times New Roman" w:hAnsi="Times New Roman" w:cs="Times New Roman"/>
                <w:sz w:val="18"/>
                <w:szCs w:val="18"/>
                <w:lang w:val="en-US"/>
              </w:rPr>
              <w:fldChar w:fldCharType="begin"/>
            </w:r>
            <w:r w:rsidRPr="00292D05">
              <w:rPr>
                <w:rFonts w:ascii="Times New Roman" w:hAnsi="Times New Roman" w:cs="Times New Roman"/>
                <w:sz w:val="18"/>
                <w:szCs w:val="18"/>
                <w:lang w:val="en-US"/>
              </w:rPr>
              <w:instrText xml:space="preserve"> ADDIN ZOTERO_ITEM CSL_CITATION {"citationID":"8ByUqgb3","properties":{"formattedCitation":"(Feng, 2024; Lin et al., 2024; ZABOT, 2024)","plainCitation":"(Feng, 2024; Lin et al., 2024; ZABOT, 2024)","dontUpdate":true,"noteIndex":0},"citationItems":[{"id":2185,"uris":["http://zotero.org/users/10512605/items/HRRTMITC"],"itemData":{"id":2185,"type":"article-journal","abstract":"This study investigates the impact of AI-assisted language learning (AIAL) strategies on cognitive load and learning outcomes in the context of language acquisition. Specifically, the study explores three distinct AIAL strategies: personalized feedback and adaptive learning, interactive exercises with speech recognition, and intelligent tutoring with data-driven insights. The research employs a pretest-posttest random assignment experimental design, utilizing three experimental groups and a control group, with a total of 484 EFL students specializing in teaching English as a foreign language participating in the study. Data collection involves pre- and post-tests, questionnaires, and interviews to assess the influence of AIAL strategies on cognitive load and learning outcomes. Cognitive load is measured using the Cognitive Load Scale, while pretest-posttest assessments evaluate the efficacy of AIAL interventions across various language skills. These results contribute to the existing body of AIAL research by offering empirical evidence for the effectiveness of specific strategies in optimizing language learning experiences. The implications of this study extend to educators, researchers, and developers in the field of AIAL, emphasizing the potential of AIAL to enhance language acquisition processes and inform instructional design practices.","container-title":"Journal of Educational Computing Research","DOI":"10.1177/07356331241268349","ISSN":"0735-6331, 1541-4140","journalAbbreviation":"Journal of Educational Computing Research","language":"en","page":"07356331241268349","source":"DOI.org (Crossref)","title":"Investigating the Effects of Artificial Intelligence-Assisted Language Learning Strategies on Cognitive Load and Learning Outcomes: A Comparative Study","title-short":"Investigating the Effects of Artificial Intelligence-Assisted Language Learning Strategies on Cognitive Load and Learning Outcomes","author":[{"family":"Feng","given":"Lijuan"}],"issued":{"date-parts":[["2024",8,31]]}}},{"id":2189,"uris":["http://zotero.org/users/10512605/items/3G3KPPE7"],"itemData":{"id":2189,"type":"article-journal","container-title":"Journal of Dental Sciences","DOI":"10.1016/j.jds.2024.10.011","ISSN":"19917902","journalAbbreviation":"Journal of Dental Sciences","language":"en","page":"S1991790224003544","source":"DOI.org (Crossref)","title":"The use of augmented reality (AR) and virtual reality (VR) in dental surgery education and practice: A narrative review","title-short":"The use of augmented reality (AR) and virtual reality (VR) in dental surgery education and practice","author":[{"family":"Lin","given":"Ping-Yi"},{"family":"Chen","given":"Ting-Chen"},{"family":"Lin","given":"Chien-Ju"},{"family":"Huang","given":"Cheng-Chieh"},{"family":"Tsai","given":"Yi-Hsuan"},{"family":"Tsai","given":"Yi-Ling"},{"family":"Wang","given":"Chen-Ying"}],"issued":{"date-parts":[["2024",10]]}}},{"id":2186,"uris":["http://zotero.org/users/10512605/items/ZMY77C35"],"itemData":{"id":2186,"type":"article-journal","abstract":"open","language":"it","note":"Accepted: 2024-01-10T12:59:24Z","source":"thesis.unipd.it","title":"How to adopt Artificial Intelligence in B2B marketing context: an empirical guideline","title-short":"How to adopt Artificial Intelligence in B2B marketing context","URL":"https://thesis.unipd.it/handle/20.500.12608/61513","author":[{"family":"ZABOT","given":"ALICE"}],"accessed":{"date-parts":[["2024",11,3]]},"issued":{"date-parts":[["2024",1,10]]}}}],"schema":"https://github.com/citation-style-language/schema/raw/master/csl-citation.json"} </w:instrText>
            </w:r>
            <w:r w:rsidRPr="00292D05">
              <w:rPr>
                <w:rFonts w:ascii="Times New Roman" w:hAnsi="Times New Roman" w:cs="Times New Roman"/>
                <w:sz w:val="18"/>
                <w:szCs w:val="18"/>
                <w:lang w:val="en-US"/>
              </w:rPr>
              <w:fldChar w:fldCharType="separate"/>
            </w:r>
            <w:r w:rsidRPr="00292D05">
              <w:rPr>
                <w:rFonts w:ascii="Times New Roman" w:hAnsi="Times New Roman" w:cs="Times New Roman"/>
                <w:sz w:val="18"/>
                <w:szCs w:val="18"/>
                <w:lang w:val="en-US"/>
              </w:rPr>
              <w:t xml:space="preserve">Feng, </w:t>
            </w:r>
            <w:proofErr w:type="gramStart"/>
            <w:r w:rsidRPr="00292D05">
              <w:rPr>
                <w:rFonts w:ascii="Times New Roman" w:hAnsi="Times New Roman" w:cs="Times New Roman"/>
                <w:sz w:val="18"/>
                <w:szCs w:val="18"/>
                <w:lang w:val="en-US"/>
              </w:rPr>
              <w:t>2024;</w:t>
            </w:r>
            <w:proofErr w:type="gramEnd"/>
            <w:r w:rsidRPr="00292D05">
              <w:rPr>
                <w:rFonts w:ascii="Times New Roman" w:hAnsi="Times New Roman" w:cs="Times New Roman"/>
                <w:sz w:val="18"/>
                <w:szCs w:val="18"/>
                <w:lang w:val="en-US"/>
              </w:rPr>
              <w:t xml:space="preserve"> </w:t>
            </w:r>
          </w:p>
          <w:p w14:paraId="250E793B" w14:textId="77777777" w:rsidR="00123053" w:rsidRPr="00292D05" w:rsidRDefault="00123053" w:rsidP="00867DE1">
            <w:pPr>
              <w:spacing w:line="360" w:lineRule="auto"/>
              <w:jc w:val="both"/>
              <w:rPr>
                <w:rFonts w:ascii="Times New Roman" w:hAnsi="Times New Roman" w:cs="Times New Roman"/>
                <w:sz w:val="18"/>
                <w:szCs w:val="18"/>
                <w:lang w:val="en-US"/>
              </w:rPr>
            </w:pPr>
            <w:r w:rsidRPr="00292D05">
              <w:rPr>
                <w:rFonts w:ascii="Times New Roman" w:hAnsi="Times New Roman" w:cs="Times New Roman"/>
                <w:sz w:val="18"/>
                <w:szCs w:val="18"/>
                <w:lang w:val="en-US"/>
              </w:rPr>
              <w:t xml:space="preserve">Lin et al., </w:t>
            </w:r>
            <w:proofErr w:type="gramStart"/>
            <w:r w:rsidRPr="00292D05">
              <w:rPr>
                <w:rFonts w:ascii="Times New Roman" w:hAnsi="Times New Roman" w:cs="Times New Roman"/>
                <w:sz w:val="18"/>
                <w:szCs w:val="18"/>
                <w:lang w:val="en-US"/>
              </w:rPr>
              <w:t>2024;</w:t>
            </w:r>
            <w:proofErr w:type="gramEnd"/>
            <w:r w:rsidRPr="00292D05">
              <w:rPr>
                <w:rFonts w:ascii="Times New Roman" w:hAnsi="Times New Roman" w:cs="Times New Roman"/>
                <w:sz w:val="18"/>
                <w:szCs w:val="18"/>
                <w:lang w:val="en-US"/>
              </w:rPr>
              <w:t xml:space="preserve"> </w:t>
            </w:r>
          </w:p>
          <w:p w14:paraId="374D8AB3" w14:textId="77777777" w:rsidR="00123053" w:rsidRPr="00292D05" w:rsidRDefault="00123053" w:rsidP="00867DE1">
            <w:pPr>
              <w:spacing w:line="360" w:lineRule="auto"/>
              <w:jc w:val="both"/>
              <w:rPr>
                <w:rFonts w:ascii="Times New Roman" w:hAnsi="Times New Roman" w:cs="Times New Roman"/>
                <w:sz w:val="18"/>
                <w:szCs w:val="18"/>
                <w:lang w:val="en-US"/>
              </w:rPr>
            </w:pPr>
            <w:r w:rsidRPr="00292D05">
              <w:rPr>
                <w:rFonts w:ascii="Times New Roman" w:hAnsi="Times New Roman" w:cs="Times New Roman"/>
                <w:sz w:val="18"/>
                <w:szCs w:val="18"/>
                <w:lang w:val="en-US"/>
              </w:rPr>
              <w:t>ZABOT, 2024;</w:t>
            </w:r>
            <w:r w:rsidRPr="00292D05">
              <w:rPr>
                <w:rFonts w:ascii="Times New Roman" w:hAnsi="Times New Roman" w:cs="Times New Roman"/>
                <w:sz w:val="18"/>
                <w:szCs w:val="18"/>
                <w:lang w:val="en-US"/>
              </w:rPr>
              <w:fldChar w:fldCharType="end"/>
            </w:r>
            <w:r w:rsidRPr="00292D05">
              <w:rPr>
                <w:rFonts w:ascii="Times New Roman" w:hAnsi="Times New Roman" w:cs="Times New Roman"/>
                <w:sz w:val="18"/>
                <w:szCs w:val="18"/>
                <w:lang w:val="en-US"/>
              </w:rPr>
              <w:t xml:space="preserve"> </w:t>
            </w:r>
          </w:p>
          <w:p w14:paraId="34CECCB2" w14:textId="77777777" w:rsidR="00123053" w:rsidRPr="00292D05" w:rsidRDefault="00123053" w:rsidP="00867DE1">
            <w:pPr>
              <w:spacing w:line="360" w:lineRule="auto"/>
              <w:jc w:val="both"/>
              <w:rPr>
                <w:rFonts w:ascii="Times New Roman" w:hAnsi="Times New Roman" w:cs="Times New Roman"/>
                <w:sz w:val="18"/>
                <w:szCs w:val="18"/>
                <w:lang w:val="en-US"/>
              </w:rPr>
            </w:pPr>
            <w:r w:rsidRPr="00292D05">
              <w:rPr>
                <w:rFonts w:ascii="Times New Roman" w:hAnsi="Times New Roman" w:cs="Times New Roman"/>
                <w:sz w:val="18"/>
                <w:szCs w:val="18"/>
                <w:lang w:val="en-US"/>
              </w:rPr>
              <w:t>Seaba, 2023</w:t>
            </w:r>
          </w:p>
          <w:p w14:paraId="7C8F9011" w14:textId="77777777" w:rsidR="00123053" w:rsidRPr="00292D05" w:rsidRDefault="00123053" w:rsidP="00867DE1">
            <w:pPr>
              <w:spacing w:line="360" w:lineRule="auto"/>
              <w:jc w:val="both"/>
              <w:rPr>
                <w:rFonts w:ascii="Times New Roman" w:hAnsi="Times New Roman" w:cs="Times New Roman"/>
                <w:b/>
                <w:bCs/>
                <w:sz w:val="18"/>
                <w:szCs w:val="18"/>
                <w:lang w:val="en-US"/>
              </w:rPr>
            </w:pPr>
          </w:p>
        </w:tc>
      </w:tr>
      <w:tr w:rsidR="00123053" w:rsidRPr="00292D05" w14:paraId="633F87D0" w14:textId="77777777" w:rsidTr="00867DE1">
        <w:trPr>
          <w:tblCellSpacing w:w="15" w:type="dxa"/>
        </w:trPr>
        <w:tc>
          <w:tcPr>
            <w:tcW w:w="0" w:type="auto"/>
            <w:vAlign w:val="center"/>
            <w:hideMark/>
          </w:tcPr>
          <w:p w14:paraId="7929A00D" w14:textId="77777777" w:rsidR="00123053" w:rsidRPr="00292D05" w:rsidRDefault="00123053" w:rsidP="00867DE1">
            <w:pPr>
              <w:spacing w:line="360" w:lineRule="auto"/>
              <w:jc w:val="both"/>
              <w:rPr>
                <w:rFonts w:ascii="Times New Roman" w:hAnsi="Times New Roman" w:cs="Times New Roman"/>
                <w:b/>
                <w:bCs/>
                <w:sz w:val="18"/>
                <w:szCs w:val="18"/>
                <w:lang w:val="en-US"/>
              </w:rPr>
            </w:pPr>
            <w:r w:rsidRPr="00292D05">
              <w:rPr>
                <w:rFonts w:ascii="Times New Roman" w:hAnsi="Times New Roman" w:cs="Times New Roman"/>
                <w:b/>
                <w:bCs/>
                <w:sz w:val="18"/>
                <w:szCs w:val="18"/>
                <w:lang w:val="en-US"/>
              </w:rPr>
              <w:t>Adaptive Learning</w:t>
            </w:r>
          </w:p>
        </w:tc>
        <w:tc>
          <w:tcPr>
            <w:tcW w:w="0" w:type="auto"/>
            <w:vAlign w:val="center"/>
            <w:hideMark/>
          </w:tcPr>
          <w:p w14:paraId="4CEE1E3D" w14:textId="77777777" w:rsidR="00123053" w:rsidRPr="00292D05" w:rsidRDefault="00123053" w:rsidP="00867DE1">
            <w:pPr>
              <w:spacing w:line="360" w:lineRule="auto"/>
              <w:jc w:val="both"/>
              <w:rPr>
                <w:rFonts w:ascii="Times New Roman" w:hAnsi="Times New Roman" w:cs="Times New Roman"/>
                <w:b/>
                <w:bCs/>
                <w:sz w:val="18"/>
                <w:szCs w:val="18"/>
                <w:lang w:val="en-US"/>
              </w:rPr>
            </w:pPr>
            <w:r w:rsidRPr="00292D05">
              <w:rPr>
                <w:rFonts w:ascii="Times New Roman" w:hAnsi="Times New Roman" w:cs="Times New Roman"/>
                <w:b/>
                <w:bCs/>
                <w:sz w:val="18"/>
                <w:szCs w:val="18"/>
                <w:lang w:val="en-US"/>
              </w:rPr>
              <w:t>Skill Retention</w:t>
            </w:r>
          </w:p>
        </w:tc>
        <w:tc>
          <w:tcPr>
            <w:tcW w:w="0" w:type="auto"/>
            <w:vAlign w:val="center"/>
            <w:hideMark/>
          </w:tcPr>
          <w:p w14:paraId="660AEC64" w14:textId="77777777" w:rsidR="00123053" w:rsidRPr="00292D05" w:rsidRDefault="00123053" w:rsidP="00867DE1">
            <w:pPr>
              <w:spacing w:line="360" w:lineRule="auto"/>
              <w:jc w:val="both"/>
              <w:rPr>
                <w:rFonts w:ascii="Times New Roman" w:hAnsi="Times New Roman" w:cs="Times New Roman"/>
                <w:b/>
                <w:bCs/>
                <w:sz w:val="18"/>
                <w:szCs w:val="18"/>
                <w:lang w:val="en-US"/>
              </w:rPr>
            </w:pPr>
            <w:r w:rsidRPr="00292D05">
              <w:rPr>
                <w:rFonts w:ascii="Times New Roman" w:hAnsi="Times New Roman" w:cs="Times New Roman"/>
                <w:b/>
                <w:bCs/>
                <w:sz w:val="18"/>
                <w:szCs w:val="18"/>
                <w:lang w:val="en-US"/>
              </w:rPr>
              <w:t>Adaptive learning improves long-term retention and transferability of skills to clinical settings.</w:t>
            </w:r>
          </w:p>
        </w:tc>
        <w:tc>
          <w:tcPr>
            <w:tcW w:w="0" w:type="auto"/>
            <w:vAlign w:val="center"/>
            <w:hideMark/>
          </w:tcPr>
          <w:p w14:paraId="4C1B9730" w14:textId="77777777" w:rsidR="00123053" w:rsidRPr="00292D05" w:rsidRDefault="00123053" w:rsidP="00867DE1">
            <w:pPr>
              <w:spacing w:line="360" w:lineRule="auto"/>
              <w:jc w:val="both"/>
              <w:rPr>
                <w:rFonts w:ascii="Times New Roman" w:hAnsi="Times New Roman" w:cs="Times New Roman"/>
                <w:sz w:val="18"/>
                <w:szCs w:val="18"/>
                <w:lang w:val="en-US"/>
              </w:rPr>
            </w:pPr>
            <w:r w:rsidRPr="00292D05">
              <w:rPr>
                <w:rFonts w:ascii="Times New Roman" w:hAnsi="Times New Roman" w:cs="Times New Roman"/>
                <w:sz w:val="18"/>
                <w:szCs w:val="18"/>
                <w:lang w:val="en-US"/>
              </w:rPr>
              <w:fldChar w:fldCharType="begin"/>
            </w:r>
            <w:r w:rsidRPr="00292D05">
              <w:rPr>
                <w:rFonts w:ascii="Times New Roman" w:hAnsi="Times New Roman" w:cs="Times New Roman"/>
                <w:sz w:val="18"/>
                <w:szCs w:val="18"/>
                <w:lang w:val="en-US"/>
              </w:rPr>
              <w:instrText xml:space="preserve"> ADDIN ZOTERO_ITEM CSL_CITATION {"citationID":"uhos3B0y","properties":{"formattedCitation":"(Elendu et al., 2024; Halkiopoulos &amp; Gkintoni, 2024; Zhai et al., 2021)","plainCitation":"(Elendu et al., 2024; Halkiopoulos &amp; Gkintoni, 2024; Zhai et al., 2021)","dontUpdate":true,"noteIndex":0},"citationItems":[{"id":2156,"uris":["http://zotero.org/users/10512605/items/TDSZYG7Y"],"itemData":{"id":2156,"type":"article-journal","abstract":"Simulation-based training (SBT) has emerged as a transformative approach in medical education, significantly enhancing healthcare professionals’ learning experience and clinical competency. This article explores the impact of SBT, tracing its historical development and examining the various types of simulations utilized today, including high-fidelity mannequins, virtual reality environments, standardized patients, and hybrid simulations. These methods offer a safe and controlled environment for students to practice and hone technical and non-technical skills, ultimately improving patient safety and clinical outcomes. The benefits of SBT are manifold, including enhanced skill acquisition, error reduction, and the opportunity for repeated practice without risk to actual patients. Immediate feedback and structured debriefing further solidify learning, making Simulation an invaluable tool in medical education. However, the implementation of SBT is challenging. It requires substantial financial investment, specialized equipment, and trained faculty. Additionally, there are concerns about the realism of simulations and the transferability of skills to real-world clinical settings. Despite these challenges, numerous case studies and empirical research underscore the effectiveness of SBT compared to traditional methods. Looking ahead, advancements in technology, such as artificial intelligence and improved virtual reality applications, promise to enhance the efficacy and accessibility of simulation training. The integration of Simulation with other training modalities and its adoption in diverse global contexts highlight its potential to revolutionize medical education worldwide. This article affirms the crucial role of SBT in preparing the next generation of healthcare professionals and its ongoing evolution driven by technological innovations.","container-title":"Medicine","DOI":"10.1097/MD.0000000000038813","issue":"27","language":"en-US","page":"e38813","source":"journals.lww.com","title":"The impact of simulation-based training in medical education: A review","title-short":"The impact of simulation-based training in medical education","volume":"103","author":[{"family":"Elendu","given":"Chukwuka"},{"family":"Amaechi","given":"Dependable C."},{"family":"Okatta","given":"Alexander U."},{"family":"Amaechi","given":"Emmanuel C."},{"family":"Elendu","given":"Tochi C."},{"family":"Ezeh","given":"Chiamaka P."},{"family":"Elendu","given":"Ijeoma D."}],"issued":{"date-parts":[["2024",7,5]]}}},{"id":2197,"uris":["http://zotero.org/users/10512605/items/BYCGR8RT"],"itemData":{"id":2197,"type":"article-journal","abstract":"This paper reviews the literature on integrating AI in e-learning, from the viewpoint of cognitive neuropsychology, for Personalized Learning (PL) and Adaptive Assessment (AA). This review follows the PRISMA systematic review methodology and synthesizes the results of 85 studies that were selected from an initial pool of 818 records across several databases. The results indicate that AI can improve students’ performance, engagement, and motivation; at the same time, some challenges like bias and discrimination should be noted. The review covers the historic development of AI in education, its theoretical grounding, and its practical applications within PL and AA with high promise and ethical issues of AI-powered educational systems. Future directions are empirical validation of effectiveness and equity, development of algorithms that reduce bias, and exploration of ethical implications regarding data privacy. The review identifies the transformative potential of AI in developing personalized and adaptive learning (AL) environments, thus, it advocates continued development and exploration as a means to improve educational outcomes.","container-title":"Electronics","DOI":"10.3390/electronics13183762","ISSN":"2079-9292","issue":"18","language":"en","license":"http://creativecommons.org/licenses/by/3.0/","note":"number: 18\npublisher: Multidisciplinary Digital Publishing Institute","page":"3762","source":"www.mdpi.com","title":"Leveraging AI in E-Learning: Personalized Learning and Adaptive Assessment through Cognitive Neuropsychology—A Systematic Analysis","title-short":"Leveraging AI in E-Learning","volume":"13","author":[{"family":"Halkiopoulos","given":"Constantinos"},{"family":"Gkintoni","given":"Evgenia"}],"issued":{"date-parts":[["2024",1]]}}},{"id":2200,"uris":["http://zotero.org/users/10512605/items/G49W8ZXF"],"itemData":{"id":2200,"type":"article-journal","abstract":"This study provided a content analysis of studies aiming to disclose how artificial intelligence (AI) has been applied to the education sector and explore the potential research trends and challenges of AI in education. A total of 100 papers including 63 empirical papers (74 studies) and 37 analytic papers were selected from the education and educational research category of Social Sciences Citation Index database from 2010 to 2020. The content analysis showed that the research questions could be classified into development layer (classification, matching, recommendation, and deep learning), application layer (feedback, reasoning, and adaptive learning), and integration layer (affection computing, role-playing, immersive learning, and gamification). Moreover, four research trends, including Internet of Things, swarm intelligence, deep learning, and neuroscience, as well as an assessment of AI in education, were suggested for further investigation. However, we also proposed the challenges in education may be caused by AI with regard to inappropriate use of AI techniques, changing roles of teachers and students, as well as social and ethical issues. The results provide insights into an overview of the AI used for education domain, which helps to strengthen the theoretical foundation of AI in education and provides a promising channel for educators and AI engineers to carry out further collaborative research.","container-title":"Complexity","DOI":"10.1155/2021/8812542","ISSN":"1099-0526","issue":"1","language":"en","license":"Copyright © 2021 Xuesong Zhai et al.","note":"_eprint: https://onlinelibrary.wiley.com/doi/pdf/10.1155/2021/8812542","page":"8812542","source":"Wiley Online Library","title":"A Review of Artificial Intelligence (AI) in Education from 2010 to 2020","volume":"2021","author":[{"family":"Zhai","given":"Xuesong"},{"family":"Chu","given":"Xiaoyan"},{"family":"Chai","given":"Ching Sing"},{"family":"Jong","given":"Morris Siu Yung"},{"family":"Istenic","given":"Andreja"},{"family":"Spector","given":"Michael"},{"family":"Liu","given":"Jia-Bao"},{"family":"Yuan","given":"Jing"},{"family":"Li","given":"Yan"}],"issued":{"date-parts":[["2021"]]}}}],"schema":"https://github.com/citation-style-language/schema/raw/master/csl-citation.json"} </w:instrText>
            </w:r>
            <w:r w:rsidRPr="00292D05">
              <w:rPr>
                <w:rFonts w:ascii="Times New Roman" w:hAnsi="Times New Roman" w:cs="Times New Roman"/>
                <w:sz w:val="18"/>
                <w:szCs w:val="18"/>
                <w:lang w:val="en-US"/>
              </w:rPr>
              <w:fldChar w:fldCharType="separate"/>
            </w:r>
            <w:proofErr w:type="spellStart"/>
            <w:r w:rsidRPr="00292D05">
              <w:rPr>
                <w:rFonts w:ascii="Times New Roman" w:hAnsi="Times New Roman" w:cs="Times New Roman"/>
                <w:sz w:val="18"/>
                <w:szCs w:val="18"/>
                <w:lang w:val="en-US"/>
              </w:rPr>
              <w:t>Elendu</w:t>
            </w:r>
            <w:proofErr w:type="spellEnd"/>
            <w:r w:rsidRPr="00292D05">
              <w:rPr>
                <w:rFonts w:ascii="Times New Roman" w:hAnsi="Times New Roman" w:cs="Times New Roman"/>
                <w:sz w:val="18"/>
                <w:szCs w:val="18"/>
                <w:lang w:val="en-US"/>
              </w:rPr>
              <w:t xml:space="preserve"> et al., </w:t>
            </w:r>
            <w:proofErr w:type="gramStart"/>
            <w:r w:rsidRPr="00292D05">
              <w:rPr>
                <w:rFonts w:ascii="Times New Roman" w:hAnsi="Times New Roman" w:cs="Times New Roman"/>
                <w:sz w:val="18"/>
                <w:szCs w:val="18"/>
                <w:lang w:val="en-US"/>
              </w:rPr>
              <w:t>2024;</w:t>
            </w:r>
            <w:proofErr w:type="gramEnd"/>
          </w:p>
          <w:p w14:paraId="5983E4A0" w14:textId="77777777" w:rsidR="00123053" w:rsidRPr="00292D05" w:rsidRDefault="00123053" w:rsidP="00867DE1">
            <w:pPr>
              <w:spacing w:line="360" w:lineRule="auto"/>
              <w:jc w:val="both"/>
              <w:rPr>
                <w:rFonts w:ascii="Times New Roman" w:hAnsi="Times New Roman" w:cs="Times New Roman"/>
                <w:sz w:val="18"/>
                <w:szCs w:val="18"/>
                <w:lang w:val="en-US"/>
              </w:rPr>
            </w:pPr>
            <w:r w:rsidRPr="00292D05">
              <w:rPr>
                <w:rFonts w:ascii="Times New Roman" w:hAnsi="Times New Roman" w:cs="Times New Roman"/>
                <w:sz w:val="18"/>
                <w:szCs w:val="18"/>
                <w:lang w:val="en-US"/>
              </w:rPr>
              <w:t xml:space="preserve"> </w:t>
            </w:r>
            <w:proofErr w:type="spellStart"/>
            <w:r w:rsidRPr="00292D05">
              <w:rPr>
                <w:rFonts w:ascii="Times New Roman" w:hAnsi="Times New Roman" w:cs="Times New Roman"/>
                <w:sz w:val="18"/>
                <w:szCs w:val="18"/>
                <w:lang w:val="en-US"/>
              </w:rPr>
              <w:t>Halkiopoulos</w:t>
            </w:r>
            <w:proofErr w:type="spellEnd"/>
            <w:r w:rsidRPr="00292D05">
              <w:rPr>
                <w:rFonts w:ascii="Times New Roman" w:hAnsi="Times New Roman" w:cs="Times New Roman"/>
                <w:sz w:val="18"/>
                <w:szCs w:val="18"/>
                <w:lang w:val="en-US"/>
              </w:rPr>
              <w:t xml:space="preserve"> &amp; </w:t>
            </w:r>
            <w:proofErr w:type="spellStart"/>
            <w:r w:rsidRPr="00292D05">
              <w:rPr>
                <w:rFonts w:ascii="Times New Roman" w:hAnsi="Times New Roman" w:cs="Times New Roman"/>
                <w:sz w:val="18"/>
                <w:szCs w:val="18"/>
                <w:lang w:val="en-US"/>
              </w:rPr>
              <w:t>Gkintoni</w:t>
            </w:r>
            <w:proofErr w:type="spellEnd"/>
            <w:r w:rsidRPr="00292D05">
              <w:rPr>
                <w:rFonts w:ascii="Times New Roman" w:hAnsi="Times New Roman" w:cs="Times New Roman"/>
                <w:sz w:val="18"/>
                <w:szCs w:val="18"/>
                <w:lang w:val="en-US"/>
              </w:rPr>
              <w:t xml:space="preserve">, </w:t>
            </w:r>
            <w:proofErr w:type="gramStart"/>
            <w:r w:rsidRPr="00292D05">
              <w:rPr>
                <w:rFonts w:ascii="Times New Roman" w:hAnsi="Times New Roman" w:cs="Times New Roman"/>
                <w:sz w:val="18"/>
                <w:szCs w:val="18"/>
                <w:lang w:val="en-US"/>
              </w:rPr>
              <w:t>2024;</w:t>
            </w:r>
            <w:proofErr w:type="gramEnd"/>
          </w:p>
          <w:p w14:paraId="33E6C650" w14:textId="77777777" w:rsidR="00123053" w:rsidRPr="00292D05" w:rsidRDefault="00123053" w:rsidP="00867DE1">
            <w:pPr>
              <w:spacing w:line="360" w:lineRule="auto"/>
              <w:jc w:val="both"/>
              <w:rPr>
                <w:rFonts w:ascii="Times New Roman" w:hAnsi="Times New Roman" w:cs="Times New Roman"/>
                <w:sz w:val="18"/>
                <w:szCs w:val="18"/>
                <w:lang w:val="en-US"/>
              </w:rPr>
            </w:pPr>
            <w:r w:rsidRPr="00292D05">
              <w:rPr>
                <w:rFonts w:ascii="Times New Roman" w:hAnsi="Times New Roman" w:cs="Times New Roman"/>
                <w:sz w:val="18"/>
                <w:szCs w:val="18"/>
                <w:lang w:val="en-US"/>
              </w:rPr>
              <w:t xml:space="preserve"> Zhai et al., </w:t>
            </w:r>
            <w:proofErr w:type="gramStart"/>
            <w:r w:rsidRPr="00292D05">
              <w:rPr>
                <w:rFonts w:ascii="Times New Roman" w:hAnsi="Times New Roman" w:cs="Times New Roman"/>
                <w:sz w:val="18"/>
                <w:szCs w:val="18"/>
                <w:lang w:val="en-US"/>
              </w:rPr>
              <w:t>2021;</w:t>
            </w:r>
            <w:proofErr w:type="gramEnd"/>
          </w:p>
          <w:p w14:paraId="3752AC07" w14:textId="77777777" w:rsidR="00123053" w:rsidRPr="00292D05" w:rsidRDefault="00123053" w:rsidP="00867DE1">
            <w:pPr>
              <w:spacing w:line="360" w:lineRule="auto"/>
              <w:jc w:val="both"/>
              <w:rPr>
                <w:rFonts w:ascii="Times New Roman" w:hAnsi="Times New Roman" w:cs="Times New Roman"/>
                <w:sz w:val="18"/>
                <w:szCs w:val="18"/>
              </w:rPr>
            </w:pPr>
            <w:r w:rsidRPr="00292D05">
              <w:rPr>
                <w:rFonts w:ascii="Times New Roman" w:hAnsi="Times New Roman" w:cs="Times New Roman"/>
                <w:sz w:val="18"/>
                <w:szCs w:val="18"/>
                <w:lang w:val="en-US"/>
              </w:rPr>
              <w:fldChar w:fldCharType="end"/>
            </w:r>
            <w:r w:rsidRPr="00292D05">
              <w:rPr>
                <w:rFonts w:ascii="Times New Roman" w:hAnsi="Times New Roman" w:cs="Times New Roman"/>
                <w:sz w:val="18"/>
                <w:szCs w:val="18"/>
                <w:lang w:val="en-US"/>
              </w:rPr>
              <w:t xml:space="preserve"> </w:t>
            </w:r>
            <w:r w:rsidRPr="00292D05">
              <w:rPr>
                <w:rFonts w:ascii="Times New Roman" w:hAnsi="Times New Roman" w:cs="Times New Roman"/>
                <w:b/>
                <w:bCs/>
                <w:sz w:val="18"/>
                <w:szCs w:val="18"/>
                <w:lang w:val="en-US"/>
              </w:rPr>
              <w:fldChar w:fldCharType="begin"/>
            </w:r>
            <w:r w:rsidRPr="00292D05">
              <w:rPr>
                <w:rFonts w:ascii="Times New Roman" w:hAnsi="Times New Roman" w:cs="Times New Roman"/>
                <w:b/>
                <w:bCs/>
                <w:sz w:val="18"/>
                <w:szCs w:val="18"/>
                <w:lang w:val="en-US"/>
              </w:rPr>
              <w:instrText xml:space="preserve"> ADDIN ZOTERO_ITEM CSL_CITATION {"citationID":"cC1ll875","properties":{"formattedCitation":"(Ahmed et al., 2010; Carlson, 2023; Cascella et al., 2023; Elendu et al., 2024; Mirchi et al., 2020; Xie et al., 2021)","plainCitation":"(Ahmed et al., 2010; Carlson, 2023; Cascella et al., 2023; Elendu et al., 2024; Mirchi et al., 2020; Xie et al., 2021)","dontUpdate":true,"noteIndex":0},"citationItems":[{"id":2178,"uris":["http://zotero.org/users/10512605/items/LKEBWG9S"],"itemData":{"id":2178,"type":"article-journal","container-title":"Journal of Vascular and Interventional Radiology","DOI":"10.1016/j.jvir.2009.09.019","ISSN":"10510443","issue":"1","journalAbbreviation":"Journal of Vascular and Interventional Radiology","language":"en","page":"55-66","source":"DOI.org (Crossref)","title":"Role of Virtual Reality Simulation in Teaching and Assessing Technical Skills in Endovascular Intervention","volume":"21","author":[{"family":"Ahmed","given":"Kamran"},{"family":"Keeling","given":"Aoife N."},{"family":"Fakhry","given":"Morkos"},{"family":"Ashrafian","given":"Hutan"},{"family":"Aggarwal","given":"Rajesh"},{"family":"Naughton","given":"Peter A."},{"family":"Darzi","given":"Ara"},{"family":"Cheshire","given":"Nicholas"},{"family":"Athanasiou","given":"Thanos"},{"family":"Hamady","given":"Mohammed"}],"issued":{"date-parts":[["2010",1]]}}},{"id":2169,"uris":["http://zotero.org/users/10512605/items/9RXTZC78"],"itemData":{"id":2169,"type":"article-journal","container-title":"Current Psychiatry Reports","DOI":"10.1007/s11920-023-01438-4","ISSN":"1523-3812, 1535-1645","issue":"9","journalAbbreviation":"Curr Psychiatry Rep","language":"en","page":"365-371","source":"DOI.org (Crossref)","title":"Virtual and Augmented Simulations in Mental Health","volume":"25","author":[{"family":"Carlson","given":"Clint G."}],"issued":{"date-parts":[["2023",9]]}}},{"id":2172,"uris":["http://zotero.org/users/10512605/items/7PIWDN5J"],"itemData":{"id":2172,"type":"article-journal","abstract":"Abstract\n            \n              Unlike traditional video games developed solely for entertainment purposes, game-based learning employs intentionally crafted approaches that seamlessly merge entertainment and educational content, resulting in captivating and effective learning encounters. These pedagogical methods include\n              serious video games\n              and\n              gamification\n              . Serious games are video games utilized as tools for acquiring crucial (serious) knowledge and skills. On the other hand, gamification requires integrating gaming elements (game mechanics) such as points, leaderboards, missions, levels, rewards, and more, into a context that may not be associated with video gaming activities. They can be dynamically (game dynamics) combined developing various strategic approaches. Operatively, gamification adopts simulation elements and leverages the interactive nature of gaming to teach players specific skills, convey knowledge, or address real-world issues. External incentives stimulate internal motivation. Therefore, these techniques place the learners in the central role, allowing them to actively construct knowledge through firsthand experiences.\n            \n            Anesthesia, pain medicine, and critical care demand a delicate interplay of technical competence and non-technical proficiencies. Gamification techniques can offer advantages to both domains. Game-based modalities provide a dynamic, interactive, and highly effective opportunity to learn, practice, and improve both technical and non-technical skills, enriching the overall proficiency of anesthesia professionals. These properties are crucial in a discipline where personal skills, human factors, and the influence of stressors significantly impact daily work activities. Furthermore, gamification can also be embraced for patient education to enhance comfort and compliance, particularly within pediatric settings (game-based distraction), and in pain medicine through stress management techniques. On these bases, the creation of effective gamification tools for anesthesiologists can present a formidable opportunity for users and developers.\n            This narrative review comprehensively examines the intricate aspects of gamification and its potentially transformative influence on the fields of anesthesiology. It delves into theoretical frameworks, potential advantages in education and training, integration with artificial intelligence systems and immersive techniques, and also addresses the challenges that could arise within these contexts.","container-title":"Journal of Anesthesia, Analgesia and Critical Care","DOI":"10.1186/s44158-023-00118-2","ISSN":"2731-3786","issue":"1","journalAbbreviation":"J Anesth Analg Crit Care","language":"en","page":"33","source":"DOI.org (Crossref)","title":"Envisioning gamification in anesthesia, pain management, and critical care: basic principles, integration of artificial intelligence, and simulation strategies","title-short":"Envisioning gamification in anesthesia, pain management, and critical care","volume":"3","author":[{"family":"Cascella","given":"Marco"},{"family":"Cascella","given":"Andrea"},{"family":"Monaco","given":"Federica"},{"family":"Shariff","given":"Mohammed Naveed"}],"issued":{"date-parts":[["2023",9,11]]}}},{"id":2156,"uris":["http://zotero.org/users/10512605/items/TDSZYG7Y"],"itemData":{"id":2156,"type":"article-journal","abstract":"Simulation-based training (SBT) has emerged as a transformative approach in medical education, significantly enhancing healthcare professionals’ learning experience and clinical competency. This article explores the impact of SBT, tracing its historical development and examining the various types of simulations utilized today, including high-fidelity mannequins, virtual reality environments, standardized patients, and hybrid simulations. These methods offer a safe and controlled environment for students to practice and hone technical and non-technical skills, ultimately improving patient safety and clinical outcomes. The benefits of SBT are manifold, including enhanced skill acquisition, error reduction, and the opportunity for repeated practice without risk to actual patients. Immediate feedback and structured debriefing further solidify learning, making Simulation an invaluable tool in medical education. However, the implementation of SBT is challenging. It requires substantial financial investment, specialized equipment, and trained faculty. Additionally, there are concerns about the realism of simulations and the transferability of skills to real-world clinical settings. Despite these challenges, numerous case studies and empirical research underscore the effectiveness of SBT compared to traditional methods. Looking ahead, advancements in technology, such as artificial intelligence and improved virtual reality applications, promise to enhance the efficacy and accessibility of simulation training. The integration of Simulation with other training modalities and its adoption in diverse global contexts highlight its potential to revolutionize medical education worldwide. This article affirms the crucial role of SBT in preparing the next generation of healthcare professionals and its ongoing evolution driven by technological innovations.","container-title":"Medicine","DOI":"10.1097/MD.0000000000038813","issue":"27","language":"en-US","page":"e38813","source":"journals.lww.com","title":"The impact of simulation-based training in medical education: A review","title-short":"The impact of simulation-based training in medical education","volume":"103","author":[{"family":"Elendu","given":"Chukwuka"},{"family":"Amaechi","given":"Dependable C."},{"family":"Okatta","given":"Alexander U."},{"family":"Amaechi","given":"Emmanuel C."},{"family":"Elendu","given":"Tochi C."},{"family":"Ezeh","given":"Chiamaka P."},{"family":"Elendu","given":"Ijeoma D."}],"issued":{"date-parts":[["2024",7,5]]}}},{"id":2174,"uris":["http://zotero.org/users/10512605/items/SISRTPEZ"],"itemData":{"id":2174,"type":"article-journal","container-title":"PLOS ONE","DOI":"10.1371/journal.pone.0229596","ISSN":"1932-6203","issue":"2","journalAbbreviation":"PLoS ONE","language":"en","page":"e0229596","source":"DOI.org (Crossref)","title":"The Virtual Operative Assistant: An explainable artificial intelligence tool for simulation-based training in surgery and medicine","title-short":"The Virtual Operative Assistant","volume":"15","author":[{"family":"Mirchi","given":"Nykan"},{"family":"Bissonnette","given":"Vincent"},{"family":"Yilmaz","given":"Recai"},{"family":"Ledwos","given":"Nicole"},{"family":"Winkler-Schwartz","given":"Alexander"},{"family":"Del Maestro","given":"Rolando F."}],"editor":[{"family":"Pławiak","given":"Paweł"}],"issued":{"date-parts":[["2020",2,27]]}}},{"id":2176,"uris":["http://zotero.org/users/10512605/items/M83CGLXF"],"itemData":{"id":2176,"type":"article-journal","abstract":"This study aimed to discuss the research efforts in developing virtual reality (VR) tech</w:instrText>
            </w:r>
            <w:r w:rsidRPr="00292D05">
              <w:rPr>
                <w:rFonts w:ascii="Times New Roman" w:hAnsi="Times New Roman" w:cs="Times New Roman"/>
                <w:b/>
                <w:bCs/>
                <w:sz w:val="18"/>
                <w:szCs w:val="18"/>
              </w:rPr>
              <w:instrText xml:space="preserve">nology for different training applications. To begin with, we describe how VR training experiences are typically created and delivered using the current software and hardware. We then discuss the challenges and solutions of applying VR training to different application domains, such as first responder training, medical training, military training, workforce training, and education. Furthermore, we discuss the common assessment tests and evaluation methods used to validate VR training effectiveness. We conclude the article by discussing possible future directions to leverage VR technology advances for developing novel training experiences.","container-title":"Frontiers in Virtual Reality","DOI":"10.3389/frvir.2021.645153","ISSN":"2673-4192","journalAbbreviation":"Front. Virtual Real.","page":"645153","source":"DOI.org (Crossref)","title":"A Review on Virtual Reality Skill Training Applications","volume":"2","author":[{"family":"Xie","given":"Biao"},{"family":"Liu","given":"Huimin"},{"family":"Alghofaili","given":"Rawan"},{"family":"Zhang","given":"Yongqi"},{"family":"Jiang","given":"Yeling"},{"family":"Lobo","given":"Flavio Destri"},{"family":"Li","given":"Changyang"},{"family":"Li","given":"Wanwan"},{"family":"Huang","given":"Haikun"},{"family":"Akdere","given":"Mesut"},{"family":"Mousas","given":"Christos"},{"family":"Yu","given":"Lap-Fai"}],"issued":{"date-parts":[["2021",4,30]]}}}],"schema":"https://github.com/citation-style-language/schema/raw/master/csl-citation.json"} </w:instrText>
            </w:r>
            <w:r w:rsidRPr="00292D05">
              <w:rPr>
                <w:rFonts w:ascii="Times New Roman" w:hAnsi="Times New Roman" w:cs="Times New Roman"/>
                <w:b/>
                <w:bCs/>
                <w:sz w:val="18"/>
                <w:szCs w:val="18"/>
                <w:lang w:val="en-US"/>
              </w:rPr>
              <w:fldChar w:fldCharType="separate"/>
            </w:r>
            <w:r w:rsidRPr="00292D05">
              <w:rPr>
                <w:rFonts w:ascii="Times New Roman" w:hAnsi="Times New Roman" w:cs="Times New Roman"/>
                <w:sz w:val="18"/>
                <w:szCs w:val="18"/>
              </w:rPr>
              <w:t>Ahmed et al., 2010;</w:t>
            </w:r>
          </w:p>
          <w:p w14:paraId="799E4E86" w14:textId="77777777" w:rsidR="00123053" w:rsidRPr="00292D05" w:rsidRDefault="00123053" w:rsidP="00867DE1">
            <w:pPr>
              <w:spacing w:line="360" w:lineRule="auto"/>
              <w:jc w:val="both"/>
              <w:rPr>
                <w:rFonts w:ascii="Times New Roman" w:hAnsi="Times New Roman" w:cs="Times New Roman"/>
                <w:sz w:val="18"/>
                <w:szCs w:val="18"/>
              </w:rPr>
            </w:pPr>
            <w:r w:rsidRPr="00292D05">
              <w:rPr>
                <w:rFonts w:ascii="Times New Roman" w:hAnsi="Times New Roman" w:cs="Times New Roman"/>
                <w:sz w:val="18"/>
                <w:szCs w:val="18"/>
              </w:rPr>
              <w:t xml:space="preserve"> Carlson, 2023; </w:t>
            </w:r>
          </w:p>
          <w:p w14:paraId="49375D8B" w14:textId="77777777" w:rsidR="00123053" w:rsidRPr="00292D05" w:rsidRDefault="00123053" w:rsidP="00867DE1">
            <w:pPr>
              <w:spacing w:line="360" w:lineRule="auto"/>
              <w:jc w:val="both"/>
              <w:rPr>
                <w:rFonts w:ascii="Times New Roman" w:hAnsi="Times New Roman" w:cs="Times New Roman"/>
                <w:sz w:val="18"/>
                <w:szCs w:val="18"/>
              </w:rPr>
            </w:pPr>
            <w:proofErr w:type="spellStart"/>
            <w:r w:rsidRPr="00292D05">
              <w:rPr>
                <w:rFonts w:ascii="Times New Roman" w:hAnsi="Times New Roman" w:cs="Times New Roman"/>
                <w:sz w:val="18"/>
                <w:szCs w:val="18"/>
              </w:rPr>
              <w:t>Cascella</w:t>
            </w:r>
            <w:proofErr w:type="spellEnd"/>
            <w:r w:rsidRPr="00292D05">
              <w:rPr>
                <w:rFonts w:ascii="Times New Roman" w:hAnsi="Times New Roman" w:cs="Times New Roman"/>
                <w:sz w:val="18"/>
                <w:szCs w:val="18"/>
              </w:rPr>
              <w:t xml:space="preserve"> et al., 2023;  </w:t>
            </w:r>
          </w:p>
          <w:p w14:paraId="6C0C88DE" w14:textId="77777777" w:rsidR="00123053" w:rsidRPr="00292D05" w:rsidRDefault="00123053" w:rsidP="00867DE1">
            <w:pPr>
              <w:spacing w:line="360" w:lineRule="auto"/>
              <w:jc w:val="both"/>
              <w:rPr>
                <w:rFonts w:ascii="Times New Roman" w:hAnsi="Times New Roman" w:cs="Times New Roman"/>
                <w:sz w:val="18"/>
                <w:szCs w:val="18"/>
              </w:rPr>
            </w:pPr>
            <w:proofErr w:type="spellStart"/>
            <w:r w:rsidRPr="00292D05">
              <w:rPr>
                <w:rFonts w:ascii="Times New Roman" w:hAnsi="Times New Roman" w:cs="Times New Roman"/>
                <w:sz w:val="18"/>
                <w:szCs w:val="18"/>
              </w:rPr>
              <w:t>Mirchi</w:t>
            </w:r>
            <w:proofErr w:type="spellEnd"/>
            <w:r w:rsidRPr="00292D05">
              <w:rPr>
                <w:rFonts w:ascii="Times New Roman" w:hAnsi="Times New Roman" w:cs="Times New Roman"/>
                <w:sz w:val="18"/>
                <w:szCs w:val="18"/>
              </w:rPr>
              <w:t xml:space="preserve"> et al., 2020; </w:t>
            </w:r>
            <w:proofErr w:type="spellStart"/>
            <w:r w:rsidRPr="00292D05">
              <w:rPr>
                <w:rFonts w:ascii="Times New Roman" w:hAnsi="Times New Roman" w:cs="Times New Roman"/>
                <w:sz w:val="18"/>
                <w:szCs w:val="18"/>
              </w:rPr>
              <w:t>Xie</w:t>
            </w:r>
            <w:proofErr w:type="spellEnd"/>
            <w:r w:rsidRPr="00292D05">
              <w:rPr>
                <w:rFonts w:ascii="Times New Roman" w:hAnsi="Times New Roman" w:cs="Times New Roman"/>
                <w:sz w:val="18"/>
                <w:szCs w:val="18"/>
              </w:rPr>
              <w:t xml:space="preserve"> et al., 2021</w:t>
            </w:r>
            <w:r w:rsidRPr="00292D05">
              <w:rPr>
                <w:rFonts w:ascii="Times New Roman" w:hAnsi="Times New Roman" w:cs="Times New Roman"/>
                <w:b/>
                <w:bCs/>
                <w:sz w:val="18"/>
                <w:szCs w:val="18"/>
                <w:lang w:val="en-US"/>
              </w:rPr>
              <w:fldChar w:fldCharType="end"/>
            </w:r>
          </w:p>
          <w:p w14:paraId="37EB91A7" w14:textId="77777777" w:rsidR="00123053" w:rsidRPr="00292D05" w:rsidRDefault="00123053" w:rsidP="00867DE1">
            <w:pPr>
              <w:spacing w:line="360" w:lineRule="auto"/>
              <w:jc w:val="both"/>
              <w:rPr>
                <w:rFonts w:ascii="Times New Roman" w:hAnsi="Times New Roman" w:cs="Times New Roman"/>
                <w:b/>
                <w:bCs/>
                <w:sz w:val="18"/>
                <w:szCs w:val="18"/>
              </w:rPr>
            </w:pPr>
          </w:p>
        </w:tc>
      </w:tr>
    </w:tbl>
    <w:p w14:paraId="205D1CBB" w14:textId="77777777" w:rsidR="005A6BB9" w:rsidRDefault="005A6BB9"/>
    <w:sectPr w:rsidR="005A6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053"/>
    <w:rsid w:val="00123053"/>
    <w:rsid w:val="00292D05"/>
    <w:rsid w:val="00407E2F"/>
    <w:rsid w:val="005A6BB9"/>
    <w:rsid w:val="009607E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ED9F1"/>
  <w15:chartTrackingRefBased/>
  <w15:docId w15:val="{46BA63E7-D45B-4C9C-96F1-693FDB43A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053"/>
  </w:style>
  <w:style w:type="paragraph" w:styleId="Overskrift1">
    <w:name w:val="heading 1"/>
    <w:basedOn w:val="Normal"/>
    <w:next w:val="Normal"/>
    <w:link w:val="Overskrift1Tegn"/>
    <w:uiPriority w:val="9"/>
    <w:qFormat/>
    <w:rsid w:val="00123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123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123053"/>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123053"/>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123053"/>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123053"/>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123053"/>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123053"/>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123053"/>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123053"/>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123053"/>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123053"/>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123053"/>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123053"/>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123053"/>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123053"/>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123053"/>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123053"/>
    <w:rPr>
      <w:rFonts w:eastAsiaTheme="majorEastAsia" w:cstheme="majorBidi"/>
      <w:color w:val="272727" w:themeColor="text1" w:themeTint="D8"/>
    </w:rPr>
  </w:style>
  <w:style w:type="paragraph" w:styleId="Tittel">
    <w:name w:val="Title"/>
    <w:basedOn w:val="Normal"/>
    <w:next w:val="Normal"/>
    <w:link w:val="TittelTegn"/>
    <w:uiPriority w:val="10"/>
    <w:qFormat/>
    <w:rsid w:val="00123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23053"/>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123053"/>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123053"/>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123053"/>
    <w:pPr>
      <w:spacing w:before="160"/>
      <w:jc w:val="center"/>
    </w:pPr>
    <w:rPr>
      <w:i/>
      <w:iCs/>
      <w:color w:val="404040" w:themeColor="text1" w:themeTint="BF"/>
    </w:rPr>
  </w:style>
  <w:style w:type="character" w:customStyle="1" w:styleId="SitatTegn">
    <w:name w:val="Sitat Tegn"/>
    <w:basedOn w:val="Standardskriftforavsnitt"/>
    <w:link w:val="Sitat"/>
    <w:uiPriority w:val="29"/>
    <w:rsid w:val="00123053"/>
    <w:rPr>
      <w:i/>
      <w:iCs/>
      <w:color w:val="404040" w:themeColor="text1" w:themeTint="BF"/>
    </w:rPr>
  </w:style>
  <w:style w:type="paragraph" w:styleId="Listeavsnitt">
    <w:name w:val="List Paragraph"/>
    <w:basedOn w:val="Normal"/>
    <w:uiPriority w:val="34"/>
    <w:qFormat/>
    <w:rsid w:val="00123053"/>
    <w:pPr>
      <w:ind w:left="720"/>
      <w:contextualSpacing/>
    </w:pPr>
  </w:style>
  <w:style w:type="character" w:styleId="Sterkutheving">
    <w:name w:val="Intense Emphasis"/>
    <w:basedOn w:val="Standardskriftforavsnitt"/>
    <w:uiPriority w:val="21"/>
    <w:qFormat/>
    <w:rsid w:val="00123053"/>
    <w:rPr>
      <w:i/>
      <w:iCs/>
      <w:color w:val="0F4761" w:themeColor="accent1" w:themeShade="BF"/>
    </w:rPr>
  </w:style>
  <w:style w:type="paragraph" w:styleId="Sterktsitat">
    <w:name w:val="Intense Quote"/>
    <w:basedOn w:val="Normal"/>
    <w:next w:val="Normal"/>
    <w:link w:val="SterktsitatTegn"/>
    <w:uiPriority w:val="30"/>
    <w:qFormat/>
    <w:rsid w:val="00123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123053"/>
    <w:rPr>
      <w:i/>
      <w:iCs/>
      <w:color w:val="0F4761" w:themeColor="accent1" w:themeShade="BF"/>
    </w:rPr>
  </w:style>
  <w:style w:type="character" w:styleId="Sterkreferanse">
    <w:name w:val="Intense Reference"/>
    <w:basedOn w:val="Standardskriftforavsnitt"/>
    <w:uiPriority w:val="32"/>
    <w:qFormat/>
    <w:rsid w:val="001230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4086</Words>
  <Characters>21657</Characters>
  <Application>Microsoft Office Word</Application>
  <DocSecurity>0</DocSecurity>
  <Lines>180</Lines>
  <Paragraphs>51</Paragraphs>
  <ScaleCrop>false</ScaleCrop>
  <Company/>
  <LinksUpToDate>false</LinksUpToDate>
  <CharactersWithSpaces>25692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Aoudi Chance</dc:creator>
  <cp:keywords/>
  <dc:description/>
  <cp:lastModifiedBy>Emmanuel Aoudi Chance</cp:lastModifiedBy>
  <cp:revision>2</cp:revision>
  <dcterms:created xsi:type="dcterms:W3CDTF">2024-11-07T14:45:00Z</dcterms:created>
  <dcterms:modified xsi:type="dcterms:W3CDTF">2024-11-07T15:06:00Z</dcterms:modified>
</cp:coreProperties>
</file>