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4BE970" w14:textId="77777777" w:rsidR="00771D69" w:rsidRPr="004C2748" w:rsidRDefault="00771D69" w:rsidP="00771D69">
      <w:pPr>
        <w:spacing w:line="360" w:lineRule="auto"/>
        <w:jc w:val="both"/>
        <w:rPr>
          <w:rFonts w:ascii="Times New Roman" w:hAnsi="Times New Roman" w:cs="Times New Roman"/>
          <w:lang w:val="en-US"/>
        </w:rPr>
      </w:pPr>
      <w:r w:rsidRPr="004C2748">
        <w:rPr>
          <w:rFonts w:ascii="Times New Roman" w:hAnsi="Times New Roman" w:cs="Times New Roman"/>
          <w:lang w:val="en-US"/>
        </w:rPr>
        <w:t xml:space="preserve">Table 5: </w:t>
      </w:r>
      <w:r w:rsidRPr="004C2748">
        <w:rPr>
          <w:rFonts w:ascii="Times New Roman" w:hAnsi="Times New Roman" w:cs="Times New Roman"/>
          <w:b/>
          <w:bCs/>
          <w:lang w:val="en-US"/>
        </w:rPr>
        <w:t>Patient Safety Preparedness</w:t>
      </w:r>
      <w:r w:rsidRPr="004C2748">
        <w:rPr>
          <w:rFonts w:ascii="Times New Roman" w:hAnsi="Times New Roman" w:cs="Times New Roman"/>
          <w:lang w:val="en-US"/>
        </w:rPr>
        <w:t xml:space="preserve">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96"/>
        <w:gridCol w:w="1586"/>
        <w:gridCol w:w="3100"/>
        <w:gridCol w:w="2880"/>
      </w:tblGrid>
      <w:tr w:rsidR="00771D69" w:rsidRPr="009C4B36" w14:paraId="7EA19D71" w14:textId="77777777" w:rsidTr="00867DE1">
        <w:trPr>
          <w:tblHeader/>
          <w:tblCellSpacing w:w="15" w:type="dxa"/>
        </w:trPr>
        <w:tc>
          <w:tcPr>
            <w:tcW w:w="0" w:type="auto"/>
            <w:vAlign w:val="center"/>
            <w:hideMark/>
          </w:tcPr>
          <w:p w14:paraId="4E477143" w14:textId="77777777" w:rsidR="00771D69" w:rsidRPr="009C4B36" w:rsidRDefault="00771D69" w:rsidP="00867DE1">
            <w:pPr>
              <w:spacing w:line="360" w:lineRule="auto"/>
              <w:jc w:val="both"/>
              <w:rPr>
                <w:rFonts w:ascii="Times New Roman" w:hAnsi="Times New Roman" w:cs="Times New Roman"/>
                <w:b/>
                <w:bCs/>
                <w:sz w:val="18"/>
                <w:szCs w:val="18"/>
                <w:lang w:val="en-US"/>
              </w:rPr>
            </w:pPr>
            <w:r w:rsidRPr="009C4B36">
              <w:rPr>
                <w:rFonts w:ascii="Times New Roman" w:hAnsi="Times New Roman" w:cs="Times New Roman"/>
                <w:b/>
                <w:bCs/>
                <w:sz w:val="18"/>
                <w:szCs w:val="18"/>
                <w:lang w:val="en-US"/>
              </w:rPr>
              <w:t>Category</w:t>
            </w:r>
          </w:p>
        </w:tc>
        <w:tc>
          <w:tcPr>
            <w:tcW w:w="0" w:type="auto"/>
            <w:vAlign w:val="center"/>
            <w:hideMark/>
          </w:tcPr>
          <w:p w14:paraId="25D0EFAF" w14:textId="77777777" w:rsidR="00771D69" w:rsidRPr="009C4B36" w:rsidRDefault="00771D69" w:rsidP="00867DE1">
            <w:pPr>
              <w:spacing w:line="360" w:lineRule="auto"/>
              <w:jc w:val="both"/>
              <w:rPr>
                <w:rFonts w:ascii="Times New Roman" w:hAnsi="Times New Roman" w:cs="Times New Roman"/>
                <w:b/>
                <w:bCs/>
                <w:sz w:val="18"/>
                <w:szCs w:val="18"/>
                <w:lang w:val="en-US"/>
              </w:rPr>
            </w:pPr>
            <w:r w:rsidRPr="009C4B36">
              <w:rPr>
                <w:rFonts w:ascii="Times New Roman" w:hAnsi="Times New Roman" w:cs="Times New Roman"/>
                <w:b/>
                <w:bCs/>
                <w:sz w:val="18"/>
                <w:szCs w:val="18"/>
                <w:lang w:val="en-US"/>
              </w:rPr>
              <w:t>Subcategory</w:t>
            </w:r>
          </w:p>
        </w:tc>
        <w:tc>
          <w:tcPr>
            <w:tcW w:w="0" w:type="auto"/>
            <w:vAlign w:val="center"/>
            <w:hideMark/>
          </w:tcPr>
          <w:p w14:paraId="5B87C5F8" w14:textId="77777777" w:rsidR="00771D69" w:rsidRPr="009C4B36" w:rsidRDefault="00771D69" w:rsidP="00867DE1">
            <w:pPr>
              <w:spacing w:line="360" w:lineRule="auto"/>
              <w:jc w:val="both"/>
              <w:rPr>
                <w:rFonts w:ascii="Times New Roman" w:hAnsi="Times New Roman" w:cs="Times New Roman"/>
                <w:b/>
                <w:bCs/>
                <w:sz w:val="18"/>
                <w:szCs w:val="18"/>
                <w:lang w:val="en-US"/>
              </w:rPr>
            </w:pPr>
            <w:r w:rsidRPr="009C4B36">
              <w:rPr>
                <w:rFonts w:ascii="Times New Roman" w:hAnsi="Times New Roman" w:cs="Times New Roman"/>
                <w:b/>
                <w:bCs/>
                <w:sz w:val="18"/>
                <w:szCs w:val="18"/>
                <w:lang w:val="en-US"/>
              </w:rPr>
              <w:t>Findings</w:t>
            </w:r>
          </w:p>
        </w:tc>
        <w:tc>
          <w:tcPr>
            <w:tcW w:w="0" w:type="auto"/>
            <w:vAlign w:val="center"/>
            <w:hideMark/>
          </w:tcPr>
          <w:p w14:paraId="02C29A2F" w14:textId="77777777" w:rsidR="00771D69" w:rsidRPr="009C4B36" w:rsidRDefault="00771D69" w:rsidP="00867DE1">
            <w:pPr>
              <w:spacing w:line="360" w:lineRule="auto"/>
              <w:jc w:val="both"/>
              <w:rPr>
                <w:rFonts w:ascii="Times New Roman" w:hAnsi="Times New Roman" w:cs="Times New Roman"/>
                <w:b/>
                <w:bCs/>
                <w:sz w:val="18"/>
                <w:szCs w:val="18"/>
                <w:lang w:val="en-US"/>
              </w:rPr>
            </w:pPr>
            <w:r w:rsidRPr="009C4B36">
              <w:rPr>
                <w:rFonts w:ascii="Times New Roman" w:hAnsi="Times New Roman" w:cs="Times New Roman"/>
                <w:b/>
                <w:bCs/>
                <w:sz w:val="18"/>
                <w:szCs w:val="18"/>
                <w:lang w:val="en-US"/>
              </w:rPr>
              <w:t>Authors</w:t>
            </w:r>
          </w:p>
        </w:tc>
      </w:tr>
      <w:tr w:rsidR="00771D69" w:rsidRPr="009C4B36" w14:paraId="4B625E04" w14:textId="77777777" w:rsidTr="00867DE1">
        <w:trPr>
          <w:tblCellSpacing w:w="15" w:type="dxa"/>
        </w:trPr>
        <w:tc>
          <w:tcPr>
            <w:tcW w:w="0" w:type="auto"/>
            <w:vAlign w:val="center"/>
            <w:hideMark/>
          </w:tcPr>
          <w:p w14:paraId="1921E3E1" w14:textId="77777777" w:rsidR="00771D69" w:rsidRPr="009C4B36" w:rsidRDefault="00771D69" w:rsidP="00867DE1">
            <w:pPr>
              <w:spacing w:line="360" w:lineRule="auto"/>
              <w:jc w:val="both"/>
              <w:rPr>
                <w:rFonts w:ascii="Times New Roman" w:hAnsi="Times New Roman" w:cs="Times New Roman"/>
                <w:sz w:val="18"/>
                <w:szCs w:val="18"/>
                <w:lang w:val="en-US"/>
              </w:rPr>
            </w:pPr>
            <w:r w:rsidRPr="009C4B36">
              <w:rPr>
                <w:rFonts w:ascii="Times New Roman" w:hAnsi="Times New Roman" w:cs="Times New Roman"/>
                <w:b/>
                <w:bCs/>
                <w:sz w:val="18"/>
                <w:szCs w:val="18"/>
                <w:lang w:val="en-US"/>
              </w:rPr>
              <w:t>Patient Safety Preparedness</w:t>
            </w:r>
          </w:p>
        </w:tc>
        <w:tc>
          <w:tcPr>
            <w:tcW w:w="0" w:type="auto"/>
            <w:vAlign w:val="center"/>
            <w:hideMark/>
          </w:tcPr>
          <w:p w14:paraId="442FE177" w14:textId="77777777" w:rsidR="00771D69" w:rsidRPr="009C4B36" w:rsidRDefault="00771D69" w:rsidP="00867DE1">
            <w:pPr>
              <w:spacing w:line="360" w:lineRule="auto"/>
              <w:jc w:val="both"/>
              <w:rPr>
                <w:rFonts w:ascii="Times New Roman" w:hAnsi="Times New Roman" w:cs="Times New Roman"/>
                <w:sz w:val="18"/>
                <w:szCs w:val="18"/>
                <w:lang w:val="en-US"/>
              </w:rPr>
            </w:pPr>
            <w:r w:rsidRPr="009C4B36">
              <w:rPr>
                <w:rFonts w:ascii="Times New Roman" w:hAnsi="Times New Roman" w:cs="Times New Roman"/>
                <w:b/>
                <w:bCs/>
                <w:sz w:val="18"/>
                <w:szCs w:val="18"/>
                <w:lang w:val="en-US"/>
              </w:rPr>
              <w:t>Error Recognition and Correction</w:t>
            </w:r>
          </w:p>
        </w:tc>
        <w:tc>
          <w:tcPr>
            <w:tcW w:w="0" w:type="auto"/>
            <w:vAlign w:val="center"/>
            <w:hideMark/>
          </w:tcPr>
          <w:p w14:paraId="7BE96AF1" w14:textId="77777777" w:rsidR="00771D69" w:rsidRPr="009C4B36" w:rsidRDefault="00771D69" w:rsidP="00867DE1">
            <w:pPr>
              <w:spacing w:line="360" w:lineRule="auto"/>
              <w:jc w:val="both"/>
              <w:rPr>
                <w:rFonts w:ascii="Times New Roman" w:hAnsi="Times New Roman" w:cs="Times New Roman"/>
                <w:sz w:val="18"/>
                <w:szCs w:val="18"/>
                <w:lang w:val="en-US"/>
              </w:rPr>
            </w:pPr>
            <w:r w:rsidRPr="009C4B36">
              <w:rPr>
                <w:rFonts w:ascii="Times New Roman" w:hAnsi="Times New Roman" w:cs="Times New Roman"/>
                <w:sz w:val="18"/>
                <w:szCs w:val="18"/>
                <w:lang w:val="en-US"/>
              </w:rPr>
              <w:t>Real-time feedback helps students identify and correct errors, reducing potential patient risks.</w:t>
            </w:r>
          </w:p>
        </w:tc>
        <w:tc>
          <w:tcPr>
            <w:tcW w:w="0" w:type="auto"/>
            <w:vAlign w:val="center"/>
            <w:hideMark/>
          </w:tcPr>
          <w:p w14:paraId="44B8A227" w14:textId="77777777" w:rsidR="00771D69" w:rsidRPr="009C4B36" w:rsidRDefault="00771D69" w:rsidP="00867DE1">
            <w:pPr>
              <w:spacing w:line="360" w:lineRule="auto"/>
              <w:jc w:val="both"/>
              <w:rPr>
                <w:rFonts w:ascii="Times New Roman" w:hAnsi="Times New Roman" w:cs="Times New Roman"/>
                <w:sz w:val="18"/>
                <w:szCs w:val="18"/>
                <w:lang w:val="en-US"/>
              </w:rPr>
            </w:pPr>
            <w:r w:rsidRPr="009C4B36">
              <w:rPr>
                <w:rFonts w:ascii="Times New Roman" w:hAnsi="Times New Roman" w:cs="Times New Roman"/>
                <w:sz w:val="18"/>
                <w:szCs w:val="18"/>
                <w:lang w:val="en-US"/>
              </w:rPr>
              <w:fldChar w:fldCharType="begin"/>
            </w:r>
            <w:r w:rsidRPr="009C4B36">
              <w:rPr>
                <w:rFonts w:ascii="Times New Roman" w:hAnsi="Times New Roman" w:cs="Times New Roman"/>
                <w:sz w:val="18"/>
                <w:szCs w:val="18"/>
                <w:lang w:val="en-US"/>
              </w:rPr>
              <w:instrText xml:space="preserve"> ADDIN ZOTERO_ITEM CSL_CITATION {"citationID":"P8Gf50oq","properties":{"formattedCitation":"(Hong et al., 2023; Lukashova-Sanz et al., 2023; Rashid &amp; Kausik, 2024; Rasouli et al., 2024)","plainCitation":"(Hong et al., 2023; Lukashova-Sanz et al., 2023; Rashid &amp; Kausik, 2024; Rasouli et al., 2024)","dontUpdate":true,"noteIndex":0},"citationItems":[{"id":2262,"uris":["http://zotero.org/users/10512605/items/7PSXJC7H"],"itemData":{"id":2262,"type":"article-journal","container-title":"Wireless Networks","DOI":"10.1007/s11276-023-03450-1","ISSN":"1022-0038, 1572-8196","journalAbbreviation":"Wireless Netw","language":"en","source":"DOI.org (Crossref)","title":"Adaptive mobile cloud computing on college physical training education based on virtual reality","URL":"https://link.springer.com/10.1007/s11276-023-03450-1","author":[{"family":"Hong","given":"Fuxin"},{"family":"Wang","given":"Lishui"},{"family":"Li","given":"Cheng Zhao"}],"accessed":{"date-parts":[["2024",11,3]]},"issued":{"date-parts":[["2023",7,21]]}}},{"id":2269,"uris":["http://zotero.org/users/10512605/items/JU2FK6ZM"],"itemData":{"id":2269,"type":"article-journal","abstract":"User–AI collaboration is an increasingly common paradigm in assistive technologies. However, designers of such systems do not know whether communicating the AI’s accuracy is beneficial. Disclosing the accuracy could lead to more informed decision making or reduced trust in the AI. In the context of assistive technologies, understanding how design decisions affect User–AI collaboration is critical because less efficient User–AI collaboration may drastically lower the quality of life. To address this knowledge gap, we conducted a VR study in which a simulated AI predicted the user’s intended action in a selection task. Fifteen participants had to either intervene or delegate the decision to the AI. We compared participants’ behaviors with and without the disclosure of details on the AI’s accuracy prior to the system’s deployment while also varying the risk level in terms of decision consequences. The results showed that communicating potential errors shortened the decision-making time and allowed the users to develop a more efficient strategy for intervening in the decision. This work enables more effective designs of the interfaces for assistive technologies using AI.","container-title":"Applied Sciences","DOI":"10.3390/app13063572","ISSN":"2076-3417","issue":"6","language":"en","license":"http://creativecommons.org/licenses/by/3.0/","note":"number: 6\npublisher: Multidisciplinary Digital Publishing Institute","page":"3572","source":"www.mdpi.com","title":"The Influence of Disclosing the AI Potential Error to the User on the Efficiency of User–AI Collaboration","volume":"13","author":[{"family":"Lukashova-Sanz","given":"Olga"},{"family":"Dechant","given":"Martin"},{"family":"Wahl","given":"Siegfried"}],"issued":{"date-parts":[["2023",1]]}}},{"id":2266,"uris":["http://zotero.org/users/10512605/items/CUZ3HIEY"],"itemData":{"id":2266,"type":"article-journal","abstract":"Artificial Intelligence (AI) technology's rapid advancement has significantly changed various industries' operations. This comprehensive review paper aims to provide readers with a deep understanding of AI's applications &amp; implementations, workings, and potential impacts across different sectors. It also discusses its future, threats, and integration into new policy. Through extensive research on more than 200 research and many other sources, the authors have made every effort to present an accurate overview of the numerous applications of AI nowadays in industries such as agriculture, education, autonomous systems, healthcare, finance, entertainment, transportation, military, manufacturing, and more. The paper explores various AI technologies, including machine learning, deep learning, robotics, big data, the Internet of Things, natural language processing, image processing, object detection, virtual reality, augmented reality, speech recognition, and computer vision. It provides real-world examples of their applications and implementations. Moreover, it highlights and evaluates the future potential, challenges, and limitations associated with the widespread use of AI. Our study incorporates the latest research to offer a comprehensive and nuanced understanding of AI's potential benefits and challenges. This data-driven review case study highlights the immense potential of AI technology and addresses the ethical, societal, and economic considerations related to its implementation.","container-title":"Hybrid Advances","DOI":"10.1016/j.hybadv.2024.100277","ISSN":"2773-207X","journalAbbreviation":"Hybrid Advances","page":"100277","source":"ScienceDirect","title":"AI revolutionizing industries worldwide: A comprehensive overview of its diverse applications","title-short":"AI revolutionizing industries worldwide","volume":"7","author":[{"family":"Rashid","given":"Adib Bin"},{"family":"Kausik","given":"MD Ashfakul Karim"}],"issued":{"date-parts":[["2024",12,1]]}}},{"id":2263,"uris":["http://zotero.org/users/10512605/items/SADSYD77"],"itemData":{"id":2263,"type":"article","abstract":"The integration of Artificial Intelligence (AI) into medical education has emerged as a transformative element in the modern healthcare educational system. With the exponential growth of medical knowledge and the increasing complexity of healthcare systems, AI offers innovative solutions to enhance learning outcomes, facilitate personalized education pathways, and improve clinical decision-making skills among medical professionals. This literature review explores the transformative role of AI in the training of healthcare providers, focusing on advancements in medical education, medical diagnostics, and emergency care training. Additionally, it addresses the readiness of healthcare professionals to employ AI technologies, analyzing their current knowledge, attitudes, and the training provided. By synthesizing findings from multiple studies, we aim to highlight AI’s potential to enhance medical education, address challenges, and propose future directions for integrating AI into healthcare training.","DOI":"10.1101/2024.07.25.24311022","language":"en","license":"© 2024, Posted by Cold Spring Harbor Laboratory. This pre-print is available under a Creative Commons License (Attribution-NonCommercial-NoDerivs 4.0 International), CC BY-NC-ND 4.0, as described at http://creativecommons.org/licenses/by-nc-nd/4.0/","note":"ISSN: 2431-1022\npage: 2024.07.25.24311022","publisher":"medRxiv","source":"medRxiv","title":"The Role of Artificial Intelligence in Modern Medical Education and Practice: A Systematic Literature Review","title-short":"The Role of Artificial Intelligence in Modern Medical Education and Practice","URL":"https://www.medrxiv.org/content/10.1101/2024.07.25.24311022v1","author":[{"family":"Rasouli","given":"Shiva"},{"family":"Alkurdi","given":"Duha"},{"family":"Jia","given":"Bochen"}],"accessed":{"date-parts":[["2024",11,3]]},"issued":{"date-parts":[["2024",7,26]]}}}],"schema":"https://github.com/citation-style-language/schema/raw/master/csl-citation.json"} </w:instrText>
            </w:r>
            <w:r w:rsidRPr="009C4B36">
              <w:rPr>
                <w:rFonts w:ascii="Times New Roman" w:hAnsi="Times New Roman" w:cs="Times New Roman"/>
                <w:sz w:val="18"/>
                <w:szCs w:val="18"/>
                <w:lang w:val="en-US"/>
              </w:rPr>
              <w:fldChar w:fldCharType="separate"/>
            </w:r>
            <w:r w:rsidRPr="009C4B36">
              <w:rPr>
                <w:rFonts w:ascii="Times New Roman" w:hAnsi="Times New Roman" w:cs="Times New Roman"/>
                <w:sz w:val="18"/>
                <w:szCs w:val="18"/>
                <w:lang w:val="en-US"/>
              </w:rPr>
              <w:t xml:space="preserve">Hong et al., </w:t>
            </w:r>
            <w:proofErr w:type="gramStart"/>
            <w:r w:rsidRPr="009C4B36">
              <w:rPr>
                <w:rFonts w:ascii="Times New Roman" w:hAnsi="Times New Roman" w:cs="Times New Roman"/>
                <w:sz w:val="18"/>
                <w:szCs w:val="18"/>
                <w:lang w:val="en-US"/>
              </w:rPr>
              <w:t>2023;</w:t>
            </w:r>
            <w:proofErr w:type="gramEnd"/>
          </w:p>
          <w:p w14:paraId="7A317CB8" w14:textId="77777777" w:rsidR="00771D69" w:rsidRPr="009C4B36" w:rsidRDefault="00771D69" w:rsidP="00867DE1">
            <w:pPr>
              <w:spacing w:line="360" w:lineRule="auto"/>
              <w:jc w:val="both"/>
              <w:rPr>
                <w:rFonts w:ascii="Times New Roman" w:hAnsi="Times New Roman" w:cs="Times New Roman"/>
                <w:sz w:val="18"/>
                <w:szCs w:val="18"/>
                <w:lang w:val="en-US"/>
              </w:rPr>
            </w:pPr>
            <w:proofErr w:type="spellStart"/>
            <w:r w:rsidRPr="009C4B36">
              <w:rPr>
                <w:rFonts w:ascii="Times New Roman" w:hAnsi="Times New Roman" w:cs="Times New Roman"/>
                <w:sz w:val="18"/>
                <w:szCs w:val="18"/>
                <w:lang w:val="en-US"/>
              </w:rPr>
              <w:t>Lukashova</w:t>
            </w:r>
            <w:proofErr w:type="spellEnd"/>
            <w:r w:rsidRPr="009C4B36">
              <w:rPr>
                <w:rFonts w:ascii="Times New Roman" w:hAnsi="Times New Roman" w:cs="Times New Roman"/>
                <w:sz w:val="18"/>
                <w:szCs w:val="18"/>
                <w:lang w:val="en-US"/>
              </w:rPr>
              <w:t xml:space="preserve">-Sanz et al., </w:t>
            </w:r>
            <w:proofErr w:type="gramStart"/>
            <w:r w:rsidRPr="009C4B36">
              <w:rPr>
                <w:rFonts w:ascii="Times New Roman" w:hAnsi="Times New Roman" w:cs="Times New Roman"/>
                <w:sz w:val="18"/>
                <w:szCs w:val="18"/>
                <w:lang w:val="en-US"/>
              </w:rPr>
              <w:t>2023;</w:t>
            </w:r>
            <w:proofErr w:type="gramEnd"/>
            <w:r w:rsidRPr="009C4B36">
              <w:rPr>
                <w:rFonts w:ascii="Times New Roman" w:hAnsi="Times New Roman" w:cs="Times New Roman"/>
                <w:sz w:val="18"/>
                <w:szCs w:val="18"/>
                <w:lang w:val="en-US"/>
              </w:rPr>
              <w:t xml:space="preserve"> </w:t>
            </w:r>
          </w:p>
          <w:p w14:paraId="578A94C8" w14:textId="77777777" w:rsidR="00771D69" w:rsidRPr="009C4B36" w:rsidRDefault="00771D69" w:rsidP="00867DE1">
            <w:pPr>
              <w:spacing w:line="360" w:lineRule="auto"/>
              <w:jc w:val="both"/>
              <w:rPr>
                <w:rFonts w:ascii="Times New Roman" w:hAnsi="Times New Roman" w:cs="Times New Roman"/>
                <w:sz w:val="18"/>
                <w:szCs w:val="18"/>
                <w:lang w:val="en-US"/>
              </w:rPr>
            </w:pPr>
            <w:r w:rsidRPr="009C4B36">
              <w:rPr>
                <w:rFonts w:ascii="Times New Roman" w:hAnsi="Times New Roman" w:cs="Times New Roman"/>
                <w:sz w:val="18"/>
                <w:szCs w:val="18"/>
                <w:lang w:val="en-US"/>
              </w:rPr>
              <w:t xml:space="preserve">Rashid &amp; Kausik, </w:t>
            </w:r>
            <w:proofErr w:type="gramStart"/>
            <w:r w:rsidRPr="009C4B36">
              <w:rPr>
                <w:rFonts w:ascii="Times New Roman" w:hAnsi="Times New Roman" w:cs="Times New Roman"/>
                <w:sz w:val="18"/>
                <w:szCs w:val="18"/>
                <w:lang w:val="en-US"/>
              </w:rPr>
              <w:t>2024;</w:t>
            </w:r>
            <w:proofErr w:type="gramEnd"/>
            <w:r w:rsidRPr="009C4B36">
              <w:rPr>
                <w:rFonts w:ascii="Times New Roman" w:hAnsi="Times New Roman" w:cs="Times New Roman"/>
                <w:sz w:val="18"/>
                <w:szCs w:val="18"/>
                <w:lang w:val="en-US"/>
              </w:rPr>
              <w:t xml:space="preserve"> </w:t>
            </w:r>
          </w:p>
          <w:p w14:paraId="7A7A92E5" w14:textId="77777777" w:rsidR="00771D69" w:rsidRPr="009C4B36" w:rsidRDefault="00771D69" w:rsidP="00867DE1">
            <w:pPr>
              <w:spacing w:line="360" w:lineRule="auto"/>
              <w:jc w:val="both"/>
              <w:rPr>
                <w:rFonts w:ascii="Times New Roman" w:hAnsi="Times New Roman" w:cs="Times New Roman"/>
                <w:sz w:val="18"/>
                <w:szCs w:val="18"/>
                <w:lang w:val="en-US"/>
              </w:rPr>
            </w:pPr>
            <w:r w:rsidRPr="009C4B36">
              <w:rPr>
                <w:rFonts w:ascii="Times New Roman" w:hAnsi="Times New Roman" w:cs="Times New Roman"/>
                <w:sz w:val="18"/>
                <w:szCs w:val="18"/>
                <w:lang w:val="en-US"/>
              </w:rPr>
              <w:t>Rasouli et al., 2024</w:t>
            </w:r>
            <w:r w:rsidRPr="009C4B36">
              <w:rPr>
                <w:rFonts w:ascii="Times New Roman" w:hAnsi="Times New Roman" w:cs="Times New Roman"/>
                <w:sz w:val="18"/>
                <w:szCs w:val="18"/>
                <w:lang w:val="en-US"/>
              </w:rPr>
              <w:fldChar w:fldCharType="end"/>
            </w:r>
          </w:p>
        </w:tc>
      </w:tr>
      <w:tr w:rsidR="00771D69" w:rsidRPr="009C4B36" w14:paraId="7C03FC4E" w14:textId="77777777" w:rsidTr="00867DE1">
        <w:trPr>
          <w:tblCellSpacing w:w="15" w:type="dxa"/>
        </w:trPr>
        <w:tc>
          <w:tcPr>
            <w:tcW w:w="0" w:type="auto"/>
            <w:vAlign w:val="center"/>
            <w:hideMark/>
          </w:tcPr>
          <w:p w14:paraId="17BD9EFD" w14:textId="77777777" w:rsidR="00771D69" w:rsidRPr="009C4B36" w:rsidRDefault="00771D69" w:rsidP="00867DE1">
            <w:pPr>
              <w:spacing w:line="360" w:lineRule="auto"/>
              <w:jc w:val="both"/>
              <w:rPr>
                <w:rFonts w:ascii="Times New Roman" w:hAnsi="Times New Roman" w:cs="Times New Roman"/>
                <w:sz w:val="18"/>
                <w:szCs w:val="18"/>
                <w:lang w:val="en-US"/>
              </w:rPr>
            </w:pPr>
            <w:r w:rsidRPr="009C4B36">
              <w:rPr>
                <w:rFonts w:ascii="Times New Roman" w:hAnsi="Times New Roman" w:cs="Times New Roman"/>
                <w:b/>
                <w:bCs/>
                <w:sz w:val="18"/>
                <w:szCs w:val="18"/>
                <w:lang w:val="en-US"/>
              </w:rPr>
              <w:t>Patient Safety Preparedness</w:t>
            </w:r>
          </w:p>
        </w:tc>
        <w:tc>
          <w:tcPr>
            <w:tcW w:w="0" w:type="auto"/>
            <w:vAlign w:val="center"/>
            <w:hideMark/>
          </w:tcPr>
          <w:p w14:paraId="60891A16" w14:textId="77777777" w:rsidR="00771D69" w:rsidRPr="009C4B36" w:rsidRDefault="00771D69" w:rsidP="00867DE1">
            <w:pPr>
              <w:spacing w:line="360" w:lineRule="auto"/>
              <w:jc w:val="both"/>
              <w:rPr>
                <w:rFonts w:ascii="Times New Roman" w:hAnsi="Times New Roman" w:cs="Times New Roman"/>
                <w:sz w:val="18"/>
                <w:szCs w:val="18"/>
                <w:lang w:val="en-US"/>
              </w:rPr>
            </w:pPr>
            <w:r w:rsidRPr="009C4B36">
              <w:rPr>
                <w:rFonts w:ascii="Times New Roman" w:hAnsi="Times New Roman" w:cs="Times New Roman"/>
                <w:b/>
                <w:bCs/>
                <w:sz w:val="18"/>
                <w:szCs w:val="18"/>
                <w:lang w:val="en-US"/>
              </w:rPr>
              <w:t>Simulation of Ethical Scenarios</w:t>
            </w:r>
          </w:p>
        </w:tc>
        <w:tc>
          <w:tcPr>
            <w:tcW w:w="0" w:type="auto"/>
            <w:vAlign w:val="center"/>
            <w:hideMark/>
          </w:tcPr>
          <w:p w14:paraId="06BAB774" w14:textId="77777777" w:rsidR="00771D69" w:rsidRPr="009C4B36" w:rsidRDefault="00771D69" w:rsidP="00867DE1">
            <w:pPr>
              <w:spacing w:line="360" w:lineRule="auto"/>
              <w:jc w:val="both"/>
              <w:rPr>
                <w:rFonts w:ascii="Times New Roman" w:hAnsi="Times New Roman" w:cs="Times New Roman"/>
                <w:sz w:val="18"/>
                <w:szCs w:val="18"/>
                <w:lang w:val="en-US"/>
              </w:rPr>
            </w:pPr>
            <w:r w:rsidRPr="009C4B36">
              <w:rPr>
                <w:rFonts w:ascii="Times New Roman" w:hAnsi="Times New Roman" w:cs="Times New Roman"/>
                <w:sz w:val="18"/>
                <w:szCs w:val="18"/>
                <w:lang w:val="en-US"/>
              </w:rPr>
              <w:t>VR offers practice in ethically challenging scenarios, preparing students for moral decision-making.</w:t>
            </w:r>
          </w:p>
        </w:tc>
        <w:tc>
          <w:tcPr>
            <w:tcW w:w="0" w:type="auto"/>
            <w:vAlign w:val="center"/>
            <w:hideMark/>
          </w:tcPr>
          <w:p w14:paraId="441CA17A" w14:textId="77777777" w:rsidR="00771D69" w:rsidRPr="009C4B36" w:rsidRDefault="00771D69" w:rsidP="00867DE1">
            <w:pPr>
              <w:spacing w:line="360" w:lineRule="auto"/>
              <w:jc w:val="both"/>
              <w:rPr>
                <w:rFonts w:ascii="Times New Roman" w:hAnsi="Times New Roman" w:cs="Times New Roman"/>
                <w:sz w:val="18"/>
                <w:szCs w:val="18"/>
              </w:rPr>
            </w:pPr>
            <w:r w:rsidRPr="009C4B36">
              <w:rPr>
                <w:rFonts w:ascii="Times New Roman" w:hAnsi="Times New Roman" w:cs="Times New Roman"/>
                <w:sz w:val="18"/>
                <w:szCs w:val="18"/>
                <w:lang w:val="en-US"/>
              </w:rPr>
              <w:fldChar w:fldCharType="begin"/>
            </w:r>
            <w:r w:rsidRPr="009C4B36">
              <w:rPr>
                <w:rFonts w:ascii="Times New Roman" w:hAnsi="Times New Roman" w:cs="Times New Roman"/>
                <w:sz w:val="18"/>
                <w:szCs w:val="18"/>
                <w:lang w:val="en-US"/>
              </w:rPr>
              <w:instrText xml:space="preserve"> ADDIN ZOTERO_ITEM CSL_CITATION {"citationID":"qrf5OJHg","properties":{"formattedCitation":"(Bachmann et al., 2022; Motola et al., 2013; Thakkar et al., 2024)","plainCitation":"(Bachmann et al., 2022; Motola et al., 2013; Thakkar et al., 2024)","dontUpdate":true,"noteIndex":0},"citationItems":[{"id":2272,"uris":["http://zotero.org/users/10512605/items/3KM7876V"],"itemData":{"id":2272,"type":"article-journal","abstract":"The United Nations’ Sustainable Development Goals (SDGs) set out to improve the quality of life of people in developed, emerging, and developing countries by covering social and economic aspects, with a focus on environmental sustainability. At the same time, data-driven technologies influence our lives in all areas and have caused fundamental economical and societal changes. This study presents a comprehensive literature review on how data-driven approaches have enabled or inhibited the successful achievement of the 17 SDGs to date. Our findings show that data-driven analytics and tools contribute to achieving the 17 SDGs, e.g., by making information more reliable, supporting better-informed decision-making, implementing data-based policies, prioritizing actions, and optimizing the allocation of resources. Based on a qualitative content analysis, results were aggregated into a conceptual framework, including the following categories: (1) uses of data-driven methods (e.g., monitoring, measurement, mapping or modeling, forecasting, risk assessment, and planning purposes), (2) resulting positive effects, (3) arising challenges, and (4) recommendations for action to overcome these challenges. Despite positive effects and versatile applications, problems such as data gaps, data biases, high energy consumption of computational resources, ethical concerns, privacy, ownership, and security issues stand in the way of achieving the 17 SDGs.","container-title":"Sustainability","DOI":"10.3390/su14052497","ISSN":"2071-1050","issue":"5","language":"en","license":"http://creativecommons.org/licenses/by/3.0/","note":"number: 5\npublisher: Multidisciplinary Digital Publishing Institute","page":"2497","source":"www.mdpi.com","title":"The Contribution of Data-Driven Technologies in Achieving the Sustainable Development Goals","volume":"14","author":[{"family":"Bachmann","given":"Nadine"},{"family":"Tripathi","given":"Shailesh"},{"family":"Brunner","given":"Manuel"},{"family":"Jodlbauer","given":"Herbert"}],"issued":{"date-parts":[["2022",1]]}}},{"id":2275,"uris":["http://zotero.org/users/10512605/items/Y6774LLW"],"itemData":{"id":2275,"type":"article-journal","abstract":"Over the past two decades, there has been an exponential and enthusiastic adoption of simulation in healthcare education internationally. Medicine has learned much from professions that have established programs in simulation for training, such as aviation, the military and space exploration. Increased demands on training hours, limited patient encounters, and a focus on patient safety have led to a new paradigm of education in healthcare that increasingly involves technology and innovative ways to provide a standardized curriculum. A robust body of literature is growing, seeking to answer the question of how best to use simulation in healthcare education. Building on the groundwork of the Best Evidence in Medical Education (BEME) Guide on the features of simulators that lead to effective learning, this current Guide provides practical guidance to aid educators in effectively using simulation for training. It is a selective review to describe best practices and illustrative case studies. This Guide is the second part of a two-part AMEE Guide on simulation in healthcare education. The first Guide focuses on building a simulation program, and discusses more operational topics such as types of simulators, simulation center structure and set-up, fidelity management, and scenario engineering, as well as faculty preparation. This Guide will focus on the educational principles that lead to effective learning, and include topics such as feedback and debriefing, deliberate practice, and curriculum integration – all central to simulation efficacy. The important subjects of mastery learning, range of difficulty, capturing clinical variation, and individualized learning are also examined. Finally, we discuss approaches to team training and suggest future directions. Each section follows a framework of background and definition, its importance to effective use of simulation, practical points with examples, and challenges generally encountered. Simulation-based healthcare education has great potential for use throughout the healthcare education continuum, from undergraduate to continuing education. It can also be used to train a variety of healthcare providers in different disciplines from novices to experts. This Guide aims to equip healthcare educators with the tools to use this learning modality to its full capability.","container-title":"Medical Teacher","DOI":"10.3109/0142159X.2013.818632","ISSN":"0142-159X","issue":"10","note":"publisher: Taylor &amp; Francis\n_eprint: https://doi.org/10.3109/0142159X.2013.818632\nPMID: 23941678","page":"e1511-e1530","source":"Taylor and Francis+NEJM","title":"Simulation in healthcare education: A best evidence practical guide. AMEE Guide No. 82","title-short":"Simulation in healthcare education","volume":"35","author":[{"family":"Motola","given":"Ivette"},{"family":"Devine","given":"Luke A."},{"family":"Chung","given":"Hyun Soo"},{"family":"Sullivan","given":"John E."},{"family":"Issenberg","given":"S. Barry"}],"issued":{"date-parts":[["2013",10,1]]}}},{"id":2278,"uris":["http://zotero.org/users/10512605/items/S94T7KLX"],"itemData":{"id":2278,"type":"article-journal","abstract":"&lt;p&gt;The paper reviews the entire spectrum of Artificial Intelligence (AI) in mental health and its positive role in mental health. AI has a huge number of promises to offer mental health care and this paper looks at multiple facets of the same. The paper first defines AI and its scope in the area of mental health. It then looks at various facets of AI like machine learning, supervised machine learning and unsupervised machine learning and other facets of AI. The role of AI in various psychiatric disorders like neurodegenerative disorders, intellectual disability and seizures are discussed along with the role of AI in awareness, diagnosis and intervention in mental health disorders. The role of AI in positive emotional regulation and its impact in schizophrenia, autism spectrum disorders and mood disorders is also highlighted. The article also discusses the limitations of AI based approaches and the need for AI based approaches in mental health to be culturally aware, with structured flexible algorithms and an awareness of biases that can arise in AI. The ethical issues that may arise with the use of AI in mental health are also visited.&lt;/p&gt;","container-title":"Frontiers in Digital Health","DOI":"10.3389/fdgth.2024.1280235","ISSN":"2673-253X","journalAbbreviation":"Front. Digit. Health","language":"English","note":"publisher: Frontiers","source":"Frontiers","title":"Artificial intelligence in positive mental health: a narrative review","title-short":"Artificial intelligence in positive mental health","URL":"https://www.frontiersin.org/journals/digital-health/articles/10.3389/fdgth.2024.1280235/full","volume":"6","author":[{"family":"Thakkar","given":"Anoushka"},{"family":"Gupta","given":"Ankita"},{"family":"De Sousa","given":"Avinash"}],"accessed":{"date-parts":[["2024",11,3]]},"issued":{"date-parts":[["2024",3,18]]}}}],"schema":"https://github.com/citation-style-language/schema/raw/master/csl-citation.json"} </w:instrText>
            </w:r>
            <w:r w:rsidRPr="009C4B36">
              <w:rPr>
                <w:rFonts w:ascii="Times New Roman" w:hAnsi="Times New Roman" w:cs="Times New Roman"/>
                <w:sz w:val="18"/>
                <w:szCs w:val="18"/>
                <w:lang w:val="en-US"/>
              </w:rPr>
              <w:fldChar w:fldCharType="separate"/>
            </w:r>
            <w:proofErr w:type="spellStart"/>
            <w:r w:rsidRPr="009C4B36">
              <w:rPr>
                <w:rFonts w:ascii="Times New Roman" w:hAnsi="Times New Roman" w:cs="Times New Roman"/>
                <w:sz w:val="18"/>
                <w:szCs w:val="18"/>
              </w:rPr>
              <w:t>Bachmann</w:t>
            </w:r>
            <w:proofErr w:type="spellEnd"/>
            <w:r w:rsidRPr="009C4B36">
              <w:rPr>
                <w:rFonts w:ascii="Times New Roman" w:hAnsi="Times New Roman" w:cs="Times New Roman"/>
                <w:sz w:val="18"/>
                <w:szCs w:val="18"/>
              </w:rPr>
              <w:t xml:space="preserve"> et al., 2022; </w:t>
            </w:r>
          </w:p>
          <w:p w14:paraId="196B91FA" w14:textId="77777777" w:rsidR="00771D69" w:rsidRPr="009C4B36" w:rsidRDefault="00771D69" w:rsidP="00867DE1">
            <w:pPr>
              <w:spacing w:line="360" w:lineRule="auto"/>
              <w:jc w:val="both"/>
              <w:rPr>
                <w:rFonts w:ascii="Times New Roman" w:hAnsi="Times New Roman" w:cs="Times New Roman"/>
                <w:sz w:val="18"/>
                <w:szCs w:val="18"/>
              </w:rPr>
            </w:pPr>
            <w:proofErr w:type="spellStart"/>
            <w:r w:rsidRPr="009C4B36">
              <w:rPr>
                <w:rFonts w:ascii="Times New Roman" w:hAnsi="Times New Roman" w:cs="Times New Roman"/>
                <w:sz w:val="18"/>
                <w:szCs w:val="18"/>
              </w:rPr>
              <w:t>Motola</w:t>
            </w:r>
            <w:proofErr w:type="spellEnd"/>
            <w:r w:rsidRPr="009C4B36">
              <w:rPr>
                <w:rFonts w:ascii="Times New Roman" w:hAnsi="Times New Roman" w:cs="Times New Roman"/>
                <w:sz w:val="18"/>
                <w:szCs w:val="18"/>
              </w:rPr>
              <w:t xml:space="preserve"> et al., 2013; </w:t>
            </w:r>
          </w:p>
          <w:p w14:paraId="4ECBD054" w14:textId="77777777" w:rsidR="00771D69" w:rsidRPr="009C4B36" w:rsidRDefault="00771D69" w:rsidP="00867DE1">
            <w:pPr>
              <w:spacing w:line="360" w:lineRule="auto"/>
              <w:jc w:val="both"/>
              <w:rPr>
                <w:rFonts w:ascii="Times New Roman" w:hAnsi="Times New Roman" w:cs="Times New Roman"/>
                <w:sz w:val="18"/>
                <w:szCs w:val="18"/>
                <w:lang w:val="en-US"/>
              </w:rPr>
            </w:pPr>
            <w:proofErr w:type="spellStart"/>
            <w:r w:rsidRPr="009C4B36">
              <w:rPr>
                <w:rFonts w:ascii="Times New Roman" w:hAnsi="Times New Roman" w:cs="Times New Roman"/>
                <w:sz w:val="18"/>
                <w:szCs w:val="18"/>
              </w:rPr>
              <w:t>Thakkar</w:t>
            </w:r>
            <w:proofErr w:type="spellEnd"/>
            <w:r w:rsidRPr="009C4B36">
              <w:rPr>
                <w:rFonts w:ascii="Times New Roman" w:hAnsi="Times New Roman" w:cs="Times New Roman"/>
                <w:sz w:val="18"/>
                <w:szCs w:val="18"/>
              </w:rPr>
              <w:t xml:space="preserve"> et al., 2024</w:t>
            </w:r>
            <w:r w:rsidRPr="009C4B36">
              <w:rPr>
                <w:rFonts w:ascii="Times New Roman" w:hAnsi="Times New Roman" w:cs="Times New Roman"/>
                <w:sz w:val="18"/>
                <w:szCs w:val="18"/>
                <w:lang w:val="en-US"/>
              </w:rPr>
              <w:fldChar w:fldCharType="end"/>
            </w:r>
            <w:r w:rsidRPr="009C4B36">
              <w:rPr>
                <w:rFonts w:ascii="Times New Roman" w:hAnsi="Times New Roman" w:cs="Times New Roman"/>
                <w:sz w:val="18"/>
                <w:szCs w:val="18"/>
              </w:rPr>
              <w:t xml:space="preserve"> </w:t>
            </w:r>
            <w:r w:rsidRPr="009C4B36">
              <w:rPr>
                <w:rFonts w:ascii="Times New Roman" w:hAnsi="Times New Roman" w:cs="Times New Roman"/>
                <w:sz w:val="18"/>
                <w:szCs w:val="18"/>
                <w:lang w:val="en-US"/>
              </w:rPr>
              <w:fldChar w:fldCharType="begin"/>
            </w:r>
            <w:r w:rsidRPr="009C4B36">
              <w:rPr>
                <w:rFonts w:ascii="Times New Roman" w:hAnsi="Times New Roman" w:cs="Times New Roman"/>
                <w:sz w:val="18"/>
                <w:szCs w:val="18"/>
              </w:rPr>
              <w:instrText xml:space="preserve"> ADDIN ZOTERO_ITEM CSL_CITATION {"citationID":"eydjnKwq","properties":{"formattedCitation":"(Aggarwal et al., 2010; Ashcroft et al., 2021; Hamdi &amp; Al Thobaity, 2023)","plainCitation":"(Aggarwal et al., 2010; Ashcroft et al., 2021; Hamdi &amp; Al Thobaity, 2023)","dontUpdate":true,"noteIndex":0},"citationItems":[{"id":2281,"uris":["http://zotero.org/users/10512605/items/CPIZ52TS"],"itemData":{"id":2281,"type":"article-journal","abstract":"Background Simulation-based medical education enables knowledge, skills and attitudes to be acquired for all healthcare professionals in a safe, educationally orientated and efficient manner. Procedure-based skills, communication, leadership and team working can be learnt, be measured and have the potential to be used as a mode of certification to become an independent practitioner.\nResults Simulation-based training initially began with life-like manikins and now encompasses an entire range of systems, from synthetic models through to high fidelity simulation suites. These models can also be used for training in new technologies, for the application of existing technologies to new environments and in prototype testing. The level of simulation must be appropriate to the learners' needs and can range from focused tuition to mass trauma scenarios. The development of simulation centres is a global phenomenon which should be encouraged, although the facilities should be used within appropriate curricula that are methodologically sound and cost-effective.\nDiscussion A review of current techniques reveals that simulation can successfully promote the competencies of medical expert, communicator and collaborator. Further work is required to develop the exact role of simulation as a training mechanism for scholarly skills, professionalism, management and health advocacy.","container-title":"BMJ Quality &amp; Safety","DOI":"10.1136/qshc.2009.038562","ISSN":"2044-5415, 2044-5423","issue":"Suppl 2","language":"en","license":"© 2010, Published by the BMJ Publishing Group Limited. For permission to use (where not already granted under a licence) please go to http://group.bmj.com/group/rights-licensing/permissions.. This is an open-access article distributed under the terms of the Creative Commons Attribution Non-commercial License, which permits use, distribution, and reproduction in any medium, provided the original work is properly cited, the use is non commercial and is otherwise in compliance with the license. See: http://creativecommons.org/licenses/by-nc/2.0/ and http://creativecommons.org/licenses/by-nc/2.0/legalcode.","note":"publisher: BMJ Publishing Group Ltd\nsection: Original research","page":"i34-i43","source":"qualitysafety.bmj.com","title":"Training and simulation for patient safety","volume":"19","author":[{"family":"Aggarwal","given":"Rajesh"},{"family":"Mytton","given":"Oliver T."},{"family":"Derbrew","given":"Milliard"},{"family":"Hananel","given":"David"},{"family":"Heydenburg","given":"Mark"},{"family":"Issenberg","given":"Barry"},{"family":"MacAulay","given":"Catherine"},{"family":"Mancini","given":"Mary Elizabeth"},{"family":"Morimoto","given":"Takeshi"},{"family":"Soper","given":"Nathaniel"},{"family":"Ziv","given":"Amitai"},{"family":"Reznick","given":"Richard"}],"issued":{"date-parts":[["2010",8,1]]}}},{"id":2287,"uris":["http://zotero.org/users/10512605/items/PW9IJASV"],"itemData":{"id":2287,"type":"article-journal","abstract":"To identify pandemic and disaster medicine-themed training programmes aimed at medical students and to assess whether these interventions had an effect on objective measures of disaster preparedness and clinical outcomes. To suggest a training approach that can be used to train medical students for the current COVID-19 pandemic.23 studies met inclusion criteria assessing knowledge (n=18, 78.3%), attitude (n=14, 60.9%) or skill (n=10, 43.5%) following medical student disaster training. No studies assessed clinical improvement. The length of studies ranged from 1 day to 28 days, and the median length of training was 2 days (IQR=1–14). Overall, medical student disaster training programmes improved student disaster and pandemic preparedness and resulted in improved attitude, knowledge and skills. 18 studies used pretest and post-test measures which demonstrated an improvement in all outcomes from all studies.Implementing disaster training programmes for medical students improves preparedness, knowledge and skills that are important for medical students during times of pandemic. If medical students are recruited to assist in the COVID-19 pandemic, there needs to be a specific training programme for them. This review demonstrates that medical students undergoing appropriate training could play an essential role in pandemic management and suggests a course and assessment structure for medical student COVID-19 training.The search strategy was not registered on PROSPERO—the international prospective register of systematic reviews—to prevent unnecessary delay.","container-title":"Postgraduate Medical Journal","DOI":"10.1136/postgradmedj-2020-137906","ISSN":"0032-5473","issue":"1148","journalAbbreviation":"Postgraduate Medical Journal","page":"368-379","source":"Silverchair","title":"Preparing medical students for a pandemic: a systematic review of student disaster training programmes","title-short":"Preparing medical students for a pandemic","volume":"97","author":[{"family":"Ashcroft","given":"James"},{"family":"Byrne","given":"Matthew H V"},{"family":"Brennan","given":"Peter A"},{"family":"Davies","given":"Richard Justin"}],"issued":{"date-parts":[["2021",6,1]]}}},{"id":2284,"uris":["http://zotero.org/users/10512605/items/RHJN2D4H"],"itemData":{"id":2284,"type":"article-journal","abstract":"This pre–post interventional study explores the effectiveness of simulation-based training in enhancing disaster nursing skills among nursing students at Taif University, Saudi Arabia. The training, which uses a realistic train accident simulation and involves a response team of healthcare professionals, aims to improve knowledge and performance in crisis management and triage during mass casualty incidents. The study’s necessity stems from the critical role nurses play in disaster response, requiring a comprehensive understanding of challenges, collaboration among stakeholders, and improved capabilities. A random sample of 101 nursing students voluntarily participated in the study, with the necessary approvals obtained. We measured their emergency management skills and knowledge using a detailed questionnaire (27 items) and conducted pretest and posttest evaluations. Data analysis was performed using SPSS. The results indicate the training’s effectiveness, as a significant portion of participants achieved high performance levels in the posttest, contrasting with a higher percentage of fail-level grades in the pretest. These findings underscore the potential to improve disaster management protocols and nursing professionals’ preparedness in Saudi Arabia. The study emphasizes the importance of comprehensive education in disaster nursing in enhancing emergency response and patient outcomes.","container-title":"Sustainability","DOI":"10.3390/su152115513","ISSN":"2071-1050","issue":"21","language":"en","license":"http://creativecommons.org/licenses/by/3.0/","note":"number: 21\npublisher: Multidisciplinary Digital Publishing Institute","page":"15513","source":"www.mdpi.com","title":"Enhancing Disaster Triage Competencies through Simulation-Based Training: An Interventional Study among Undergraduate Nursing Students","title-short":"Enhancing Disaster Triage Competencies through Simulation-Based Training","volume":"15","author":[{"family":"Hamdi","given":"Amal"},{"family":"Al Thobaity","given":"Abdulellah"}],"issued":{"date-parts":[["2023",1]]}}}],"schema":"https://github.com/citation-style-language/schema/raw/master/csl-citation.json"} </w:instrText>
            </w:r>
            <w:r w:rsidRPr="009C4B36">
              <w:rPr>
                <w:rFonts w:ascii="Times New Roman" w:hAnsi="Times New Roman" w:cs="Times New Roman"/>
                <w:sz w:val="18"/>
                <w:szCs w:val="18"/>
                <w:lang w:val="en-US"/>
              </w:rPr>
              <w:fldChar w:fldCharType="separate"/>
            </w:r>
            <w:proofErr w:type="spellStart"/>
            <w:r w:rsidRPr="009C4B36">
              <w:rPr>
                <w:rFonts w:ascii="Times New Roman" w:hAnsi="Times New Roman" w:cs="Times New Roman"/>
                <w:sz w:val="18"/>
                <w:szCs w:val="18"/>
              </w:rPr>
              <w:t>Aggarwal</w:t>
            </w:r>
            <w:proofErr w:type="spellEnd"/>
            <w:r w:rsidRPr="009C4B36">
              <w:rPr>
                <w:rFonts w:ascii="Times New Roman" w:hAnsi="Times New Roman" w:cs="Times New Roman"/>
                <w:sz w:val="18"/>
                <w:szCs w:val="18"/>
              </w:rPr>
              <w:t xml:space="preserve"> et al., 2010; </w:t>
            </w:r>
            <w:proofErr w:type="spellStart"/>
            <w:r w:rsidRPr="009C4B36">
              <w:rPr>
                <w:rFonts w:ascii="Times New Roman" w:hAnsi="Times New Roman" w:cs="Times New Roman"/>
                <w:sz w:val="18"/>
                <w:szCs w:val="18"/>
              </w:rPr>
              <w:t>Ashcroft</w:t>
            </w:r>
            <w:proofErr w:type="spellEnd"/>
            <w:r w:rsidRPr="009C4B36">
              <w:rPr>
                <w:rFonts w:ascii="Times New Roman" w:hAnsi="Times New Roman" w:cs="Times New Roman"/>
                <w:sz w:val="18"/>
                <w:szCs w:val="18"/>
              </w:rPr>
              <w:t xml:space="preserve"> et al., 2021; </w:t>
            </w:r>
            <w:proofErr w:type="spellStart"/>
            <w:r w:rsidRPr="009C4B36">
              <w:rPr>
                <w:rFonts w:ascii="Times New Roman" w:hAnsi="Times New Roman" w:cs="Times New Roman"/>
                <w:sz w:val="18"/>
                <w:szCs w:val="18"/>
              </w:rPr>
              <w:t>Hamdi</w:t>
            </w:r>
            <w:proofErr w:type="spellEnd"/>
            <w:r w:rsidRPr="009C4B36">
              <w:rPr>
                <w:rFonts w:ascii="Times New Roman" w:hAnsi="Times New Roman" w:cs="Times New Roman"/>
                <w:sz w:val="18"/>
                <w:szCs w:val="18"/>
              </w:rPr>
              <w:t xml:space="preserve"> &amp; Al </w:t>
            </w:r>
            <w:proofErr w:type="spellStart"/>
            <w:r w:rsidRPr="009C4B36">
              <w:rPr>
                <w:rFonts w:ascii="Times New Roman" w:hAnsi="Times New Roman" w:cs="Times New Roman"/>
                <w:sz w:val="18"/>
                <w:szCs w:val="18"/>
              </w:rPr>
              <w:t>Thobaity</w:t>
            </w:r>
            <w:proofErr w:type="spellEnd"/>
            <w:r w:rsidRPr="009C4B36">
              <w:rPr>
                <w:rFonts w:ascii="Times New Roman" w:hAnsi="Times New Roman" w:cs="Times New Roman"/>
                <w:sz w:val="18"/>
                <w:szCs w:val="18"/>
              </w:rPr>
              <w:t>, 2023</w:t>
            </w:r>
            <w:r w:rsidRPr="009C4B36">
              <w:rPr>
                <w:rFonts w:ascii="Times New Roman" w:hAnsi="Times New Roman" w:cs="Times New Roman"/>
                <w:sz w:val="18"/>
                <w:szCs w:val="18"/>
                <w:lang w:val="en-US"/>
              </w:rPr>
              <w:fldChar w:fldCharType="end"/>
            </w:r>
            <w:r w:rsidRPr="009C4B36">
              <w:rPr>
                <w:rFonts w:ascii="Times New Roman" w:hAnsi="Times New Roman" w:cs="Times New Roman"/>
                <w:sz w:val="18"/>
                <w:szCs w:val="18"/>
                <w:lang w:val="en-US"/>
              </w:rPr>
              <w:t>.</w:t>
            </w:r>
          </w:p>
        </w:tc>
      </w:tr>
      <w:tr w:rsidR="00771D69" w:rsidRPr="009C4B36" w14:paraId="342A706E" w14:textId="77777777" w:rsidTr="00867DE1">
        <w:trPr>
          <w:tblCellSpacing w:w="15" w:type="dxa"/>
        </w:trPr>
        <w:tc>
          <w:tcPr>
            <w:tcW w:w="0" w:type="auto"/>
            <w:vAlign w:val="center"/>
            <w:hideMark/>
          </w:tcPr>
          <w:p w14:paraId="3FF33BB7" w14:textId="77777777" w:rsidR="00771D69" w:rsidRPr="009C4B36" w:rsidRDefault="00771D69" w:rsidP="00867DE1">
            <w:pPr>
              <w:spacing w:line="360" w:lineRule="auto"/>
              <w:jc w:val="both"/>
              <w:rPr>
                <w:rFonts w:ascii="Times New Roman" w:hAnsi="Times New Roman" w:cs="Times New Roman"/>
                <w:sz w:val="18"/>
                <w:szCs w:val="18"/>
                <w:lang w:val="en-US"/>
              </w:rPr>
            </w:pPr>
            <w:r w:rsidRPr="009C4B36">
              <w:rPr>
                <w:rFonts w:ascii="Times New Roman" w:hAnsi="Times New Roman" w:cs="Times New Roman"/>
                <w:b/>
                <w:bCs/>
                <w:sz w:val="18"/>
                <w:szCs w:val="18"/>
                <w:lang w:val="en-US"/>
              </w:rPr>
              <w:t>Patient Safety Preparedness</w:t>
            </w:r>
          </w:p>
        </w:tc>
        <w:tc>
          <w:tcPr>
            <w:tcW w:w="0" w:type="auto"/>
            <w:vAlign w:val="center"/>
            <w:hideMark/>
          </w:tcPr>
          <w:p w14:paraId="7146AD39" w14:textId="77777777" w:rsidR="00771D69" w:rsidRPr="009C4B36" w:rsidRDefault="00771D69" w:rsidP="00867DE1">
            <w:pPr>
              <w:spacing w:line="360" w:lineRule="auto"/>
              <w:jc w:val="both"/>
              <w:rPr>
                <w:rFonts w:ascii="Times New Roman" w:hAnsi="Times New Roman" w:cs="Times New Roman"/>
                <w:sz w:val="18"/>
                <w:szCs w:val="18"/>
                <w:lang w:val="en-US"/>
              </w:rPr>
            </w:pPr>
            <w:r w:rsidRPr="009C4B36">
              <w:rPr>
                <w:rFonts w:ascii="Times New Roman" w:hAnsi="Times New Roman" w:cs="Times New Roman"/>
                <w:b/>
                <w:bCs/>
                <w:sz w:val="18"/>
                <w:szCs w:val="18"/>
                <w:lang w:val="en-US"/>
              </w:rPr>
              <w:t>Confidence in Patient Care</w:t>
            </w:r>
          </w:p>
        </w:tc>
        <w:tc>
          <w:tcPr>
            <w:tcW w:w="0" w:type="auto"/>
            <w:vAlign w:val="center"/>
            <w:hideMark/>
          </w:tcPr>
          <w:p w14:paraId="3F706A6E" w14:textId="77777777" w:rsidR="00771D69" w:rsidRPr="009C4B36" w:rsidRDefault="00771D69" w:rsidP="00867DE1">
            <w:pPr>
              <w:spacing w:line="360" w:lineRule="auto"/>
              <w:jc w:val="both"/>
              <w:rPr>
                <w:rFonts w:ascii="Times New Roman" w:hAnsi="Times New Roman" w:cs="Times New Roman"/>
                <w:sz w:val="18"/>
                <w:szCs w:val="18"/>
                <w:lang w:val="en-US"/>
              </w:rPr>
            </w:pPr>
            <w:r w:rsidRPr="009C4B36">
              <w:rPr>
                <w:rFonts w:ascii="Times New Roman" w:hAnsi="Times New Roman" w:cs="Times New Roman"/>
                <w:sz w:val="18"/>
                <w:szCs w:val="18"/>
                <w:lang w:val="en-US"/>
              </w:rPr>
              <w:t>Practice in VR builds student confidence in performing procedures accurately, supporting patient safety.</w:t>
            </w:r>
          </w:p>
        </w:tc>
        <w:tc>
          <w:tcPr>
            <w:tcW w:w="0" w:type="auto"/>
            <w:vAlign w:val="center"/>
            <w:hideMark/>
          </w:tcPr>
          <w:p w14:paraId="56AFC837" w14:textId="77777777" w:rsidR="00771D69" w:rsidRPr="009C4B36" w:rsidRDefault="00771D69" w:rsidP="00867DE1">
            <w:pPr>
              <w:spacing w:line="360" w:lineRule="auto"/>
              <w:jc w:val="both"/>
              <w:rPr>
                <w:rFonts w:ascii="Times New Roman" w:hAnsi="Times New Roman" w:cs="Times New Roman"/>
                <w:kern w:val="0"/>
                <w:sz w:val="18"/>
                <w:szCs w:val="18"/>
              </w:rPr>
            </w:pPr>
            <w:r w:rsidRPr="009C4B36">
              <w:rPr>
                <w:rFonts w:ascii="Times New Roman" w:hAnsi="Times New Roman" w:cs="Times New Roman"/>
                <w:sz w:val="18"/>
                <w:szCs w:val="18"/>
                <w:lang w:val="en-US"/>
              </w:rPr>
              <w:fldChar w:fldCharType="begin"/>
            </w:r>
            <w:r w:rsidRPr="009C4B36">
              <w:rPr>
                <w:rFonts w:ascii="Times New Roman" w:hAnsi="Times New Roman" w:cs="Times New Roman"/>
                <w:sz w:val="18"/>
                <w:szCs w:val="18"/>
                <w:lang w:val="en-US"/>
              </w:rPr>
              <w:instrText xml:space="preserve"> ADDIN ZOTERO_ITEM CSL_CITATION {"citationID":"v7afFt4Z","properties":{"formattedCitation":"(King et al., 2018; Li et al., 2018; Orb\\uc0\\u230{}k et al., 2015; Paranjape et al., 2019)","plainCitation":"(King et al., 2018; Li et al., 2018; Orbæk et al., 2015; Paranjape et al., 2019)","dontUpdate":true,"noteIndex":0},"citationItems":[{"id":2294,"uris":["http://zotero.org/users/10512605/items/UFUX25HA"],"itemData":{"id":2294,"type":"article-journal","abstract":"The advancements in and affordability of technologies offer increasing opportunities to modernise healthcare education into packages developed to meet the expectations and requirements of the digital generation. Purposefully designed and tested Virtual Reality Learning Environments (VRLE) can offer healthcare students the means to access and revisit learning materials in ways that enhance education and meet a range of needs; including those with specific learning differences and those who have traditionally been disenfranchised. Furthermore, this will make healthcare education much more readily available to those who have been previously marginalised by distance. This paper argues that Virtual Reality (VR) has the unique potential to transform healthcare education and suggests that more providers should consider collaborating with developers and investing in the technology.","container-title":"Nurse Education Today","DOI":"10.1016/j.nedt.2018.08.002","ISSN":"0260-6917","journalAbbreviation":"Nurse Education Today","page":"7-9","source":"ScienceDirect","title":"Virtual health education: Scaling practice to transform student learning: Using virtual reality learning environments in healthcare education to bridge the theory/practice gap and improve patient safety","title-short":"Virtual health education","volume":"71","author":[{"family":"King","given":"Denyse"},{"family":"Tee","given":"Stephen"},{"family":"Falconer","given":"Liz"},{"family":"Angell","given":"Catherine"},{"family":"Holley","given":"Debbie"},{"family":"Mills","given":"Anne"}],"issued":{"date-parts":[["2018",12,1]]}}},{"id":2291,"uris":["http://zotero.org/users/10512605/items/5AK8FL6G"],"itemData":{"id":2291,"type":"article-journal","abstract":"Construction is a high hazard industry which involves many factors that are potentially dangerous to workers. Safety has always been advocated by many construction companies, and they have been working hard to make sure their employees are protected from fatalities and injuries. With the advent of Virtual and Augmented Reality (VR/AR), there has been a witnessed trend of capitalizing on sophisticated immersive VR/AR applications to create forgiving environments for visualizing complex workplace situations, building up risk-preventive knowledge and undergoing training. To better understand the state-of-the-art of VR/AR applications in construction safety (VR/AR-CS) and from which to uncover the related issues and propose possible improvements, this paper starts with a review and synthesis of research evidence for several VR/AR prototypes, products and the related training and evaluation paradigms. Predicated upon a wide range of well-acknowledged scholarly journals, this paper comes up with a generic taxonomy consisting of VR/AR technology characteristics, application domains, safety scenarios and evaluation methods. According to this taxonomy, a number of technical features and types that could be implemented in the context of construction safety enhancement are derived and further elaborated, while significant application domains and trends regarding the VR/AR-CS research are generalized, i.e., hazards recognition and identification, safety training and education, safety instruction and inspection, and so on. Last but not least, this study sets forth a list of gaps derived from the in-depth review and comes up with the prospective research works. It is envisioned that the outcomes of this paper could assist both researchers and industrial practitioners with appreciating the research and practice frontier of VR/AR-CS and soliciting the latest VR/AR applications.","container-title":"Automation in Construction","DOI":"10.1016/j.autcon.2017.11.003","ISSN":"0926-5805","journalAbbreviation":"Automation in Construction","page":"150-162","source":"ScienceDirect","title":"A critical review of virtual and augmented reality (VR/AR) applications in construction safety","volume":"86","author":[{"family":"Li","given":"Xiao"},{"family":"Yi","given":"Wen"},{"family":"Chi","given":"Hung-Lin"},{"family":"Wang","given":"Xiangyu"},{"family":"Chan","given":"Albert P. C."}],"issued":{"date-parts":[["2018",2,1]]}}},{"id":2301,"uris":["http://zotero.org/users/10512605/items/ZMHHS9QV"],"itemData":{"id":2301,"type":"article-journal","abstract":"Background\nThe technology-driven medication process is complex, involving advanced technologies, patient participation and increased safety measures. Medication administration errors are frequently reported, with nurses implicated in 26–38% of in-hospital cases. This points to the need for new ways of educating nursing students in today's medication administration.\nAim\nTo explore nursing students' experiences and competences with the technology-driven medication administration process.\nMethods\n16 pre-graduate nursing students were included in two focus group interviews which were recorded, transcribed and analyzed using the systematic horizontal phenomenological-hermeneutic template methodology.\nResults\nThe interviews uncovered that understanding the technologies; professionalism and patient safety are three crucial elements in the medication process. The students expressed positivity and confidence in using technology, but were fearful of committing serious medication errors. From the nursing students' perspective, experienced nurses deviate from existing guidelines, leaving them feeling isolated in practical learning situations.\nConclusion\nHaving an unclear nursing role model for the technology-driven medication process, nursing students face difficulties in identifying and adopting best practices. The impact of using technology on the frequency, type and severity of medication errors; the technologies implications on nursing professionalism and the nurses ability to secure patient adherence to the medication process, still remains to be studied.","container-title":"Nurse Education in Practice","DOI":"10.1016/j.nepr.2014.11.015","ISSN":"1471-5953","issue":"3","journalAbbreviation":"Nurse Education in Practice","page":"203-211","source":"ScienceDirect","title":"Patient safety and technology-driven medication – A qualitative study on how graduate nursing students navigate through complex medication administration","volume":"15","author":[{"family":"Orbæk","given":"Janne"},{"family":"Gaard","given":"Mette"},{"family":"Fabricius","given":"Pia"},{"family":"Lefevre","given":"Rikke S."},{"family":"Møller","given":"Tom"}],"issued":{"date-parts":[["2015",5,1]]}}},{"id":2297,"uris":["http://zotero.org/users/10512605/items/83D77PVM"],"itemData":{"id":2297,"type":"article-journal","abstract":"Health care is evolving and with it the need to reform medical education. As the practice of medicine enters the age of artificial intelligence (AI), the use of data to improve clinical decision making will grow, pushing the need for skillful medicine-machine interaction. As the rate of medical knowledge grows, technologies such as AI are needed to enable health care professionals to effectively use this knowledge to practice medicine. Medical professionals need to be adequately trained in this new technology, its advantages to improve cost, quality, and access to health care, and its shortfalls such as transparency and liability. AI needs to be seamles</w:instrText>
            </w:r>
            <w:r w:rsidRPr="009C4B36">
              <w:rPr>
                <w:rFonts w:ascii="Times New Roman" w:hAnsi="Times New Roman" w:cs="Times New Roman"/>
                <w:sz w:val="18"/>
                <w:szCs w:val="18"/>
              </w:rPr>
              <w:instrText xml:space="preserve">sly integrated across different aspects of the curriculum. In this paper, we have addressed the state of medical education at present and have recommended a framework on how to evolve the medical education curriculum to include AI.","container-title":"JMIR Medical Education","DOI":"10.2196/16048","issue":"2","language":"EN","license":"This is an open-access article distributed under the terms of the Creative Commons Attribution License (https://creativecommons.org/licenses/by/4.0/), which permits unrestricted use, distribution, and reproduction in any medium, provided the original work, first published JMIR Medical Education, is properly cited. The complete bibliographic information, a link to the original publication on https://mededu.jmir.org/, as well as this copyright and license information must be included.","note":"Company: JMIR Medical Education\nDistributor: JMIR Medical Education\nInstitution: JMIR Medical Education\nLabel: JMIR Medical Education\npublisher: JMIR Publications Inc., Toronto, Canada","page":"e16048","source":"mededu.jmir.org","title":"Introducing Artificial Intelligence Training in Medical Education","volume":"5","author":[{"family":"Paranjape","given":"Ketan"},{"family":"Schinkel","given":"Michiel"},{"family":"Panday","given":"Rishi Nannan"},{"family":"Car","given":"Josip"},{"family":"Nanayakkara","given":"Prabath"}],"issued":{"date-parts":[["2019",12,3]]}}}],"schema":"https://github.com/citation-style-language/schema/raw/master/csl-citation.json"} </w:instrText>
            </w:r>
            <w:r w:rsidRPr="009C4B36">
              <w:rPr>
                <w:rFonts w:ascii="Times New Roman" w:hAnsi="Times New Roman" w:cs="Times New Roman"/>
                <w:sz w:val="18"/>
                <w:szCs w:val="18"/>
                <w:lang w:val="en-US"/>
              </w:rPr>
              <w:fldChar w:fldCharType="separate"/>
            </w:r>
            <w:r w:rsidRPr="009C4B36">
              <w:rPr>
                <w:rFonts w:ascii="Times New Roman" w:hAnsi="Times New Roman" w:cs="Times New Roman"/>
                <w:kern w:val="0"/>
                <w:sz w:val="18"/>
                <w:szCs w:val="18"/>
              </w:rPr>
              <w:t xml:space="preserve">King et al., 2018; </w:t>
            </w:r>
          </w:p>
          <w:p w14:paraId="30A0C00C" w14:textId="77777777" w:rsidR="00771D69" w:rsidRPr="009C4B36" w:rsidRDefault="00771D69" w:rsidP="00867DE1">
            <w:pPr>
              <w:spacing w:line="360" w:lineRule="auto"/>
              <w:jc w:val="both"/>
              <w:rPr>
                <w:rFonts w:ascii="Times New Roman" w:hAnsi="Times New Roman" w:cs="Times New Roman"/>
                <w:kern w:val="0"/>
                <w:sz w:val="18"/>
                <w:szCs w:val="18"/>
              </w:rPr>
            </w:pPr>
            <w:r w:rsidRPr="009C4B36">
              <w:rPr>
                <w:rFonts w:ascii="Times New Roman" w:hAnsi="Times New Roman" w:cs="Times New Roman"/>
                <w:kern w:val="0"/>
                <w:sz w:val="18"/>
                <w:szCs w:val="18"/>
              </w:rPr>
              <w:t xml:space="preserve">Li et al., 2018; </w:t>
            </w:r>
          </w:p>
          <w:p w14:paraId="21F44C93" w14:textId="77777777" w:rsidR="00771D69" w:rsidRPr="009C4B36" w:rsidRDefault="00771D69" w:rsidP="00867DE1">
            <w:pPr>
              <w:spacing w:line="360" w:lineRule="auto"/>
              <w:jc w:val="both"/>
              <w:rPr>
                <w:rFonts w:ascii="Times New Roman" w:hAnsi="Times New Roman" w:cs="Times New Roman"/>
                <w:sz w:val="18"/>
                <w:szCs w:val="18"/>
              </w:rPr>
            </w:pPr>
            <w:proofErr w:type="spellStart"/>
            <w:r w:rsidRPr="009C4B36">
              <w:rPr>
                <w:rFonts w:ascii="Times New Roman" w:hAnsi="Times New Roman" w:cs="Times New Roman"/>
                <w:kern w:val="0"/>
                <w:sz w:val="18"/>
                <w:szCs w:val="18"/>
              </w:rPr>
              <w:t>Orbæk</w:t>
            </w:r>
            <w:proofErr w:type="spellEnd"/>
            <w:r w:rsidRPr="009C4B36">
              <w:rPr>
                <w:rFonts w:ascii="Times New Roman" w:hAnsi="Times New Roman" w:cs="Times New Roman"/>
                <w:kern w:val="0"/>
                <w:sz w:val="18"/>
                <w:szCs w:val="18"/>
              </w:rPr>
              <w:t xml:space="preserve"> et al., 2015; </w:t>
            </w:r>
            <w:proofErr w:type="spellStart"/>
            <w:r w:rsidRPr="009C4B36">
              <w:rPr>
                <w:rFonts w:ascii="Times New Roman" w:hAnsi="Times New Roman" w:cs="Times New Roman"/>
                <w:kern w:val="0"/>
                <w:sz w:val="18"/>
                <w:szCs w:val="18"/>
              </w:rPr>
              <w:t>Paranjape</w:t>
            </w:r>
            <w:proofErr w:type="spellEnd"/>
            <w:r w:rsidRPr="009C4B36">
              <w:rPr>
                <w:rFonts w:ascii="Times New Roman" w:hAnsi="Times New Roman" w:cs="Times New Roman"/>
                <w:kern w:val="0"/>
                <w:sz w:val="18"/>
                <w:szCs w:val="18"/>
              </w:rPr>
              <w:t xml:space="preserve"> et al., 2019</w:t>
            </w:r>
            <w:r w:rsidRPr="009C4B36">
              <w:rPr>
                <w:rFonts w:ascii="Times New Roman" w:hAnsi="Times New Roman" w:cs="Times New Roman"/>
                <w:sz w:val="18"/>
                <w:szCs w:val="18"/>
                <w:lang w:val="en-US"/>
              </w:rPr>
              <w:fldChar w:fldCharType="end"/>
            </w:r>
            <w:r w:rsidRPr="009C4B36">
              <w:rPr>
                <w:rFonts w:ascii="Times New Roman" w:hAnsi="Times New Roman" w:cs="Times New Roman"/>
                <w:sz w:val="18"/>
                <w:szCs w:val="18"/>
              </w:rPr>
              <w:t>.</w:t>
            </w:r>
          </w:p>
        </w:tc>
      </w:tr>
    </w:tbl>
    <w:p w14:paraId="081B8055" w14:textId="77777777" w:rsidR="005A6BB9" w:rsidRDefault="005A6BB9"/>
    <w:sectPr w:rsidR="005A6B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D69"/>
    <w:rsid w:val="00407E2F"/>
    <w:rsid w:val="005A6BB9"/>
    <w:rsid w:val="00771D69"/>
    <w:rsid w:val="009607E6"/>
    <w:rsid w:val="009C4B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BA0A9"/>
  <w15:chartTrackingRefBased/>
  <w15:docId w15:val="{7A773278-4E26-4EBE-9C7E-94EC514C0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D69"/>
  </w:style>
  <w:style w:type="paragraph" w:styleId="Overskrift1">
    <w:name w:val="heading 1"/>
    <w:basedOn w:val="Normal"/>
    <w:next w:val="Normal"/>
    <w:link w:val="Overskrift1Tegn"/>
    <w:uiPriority w:val="9"/>
    <w:qFormat/>
    <w:rsid w:val="00771D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771D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771D69"/>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771D6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771D6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771D69"/>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71D69"/>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71D69"/>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71D69"/>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771D6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771D6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771D69"/>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771D69"/>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771D69"/>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771D69"/>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771D69"/>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771D69"/>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771D69"/>
    <w:rPr>
      <w:rFonts w:eastAsiaTheme="majorEastAsia" w:cstheme="majorBidi"/>
      <w:color w:val="272727" w:themeColor="text1" w:themeTint="D8"/>
    </w:rPr>
  </w:style>
  <w:style w:type="paragraph" w:styleId="Tittel">
    <w:name w:val="Title"/>
    <w:basedOn w:val="Normal"/>
    <w:next w:val="Normal"/>
    <w:link w:val="TittelTegn"/>
    <w:uiPriority w:val="10"/>
    <w:qFormat/>
    <w:rsid w:val="00771D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771D69"/>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771D69"/>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771D69"/>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771D69"/>
    <w:pPr>
      <w:spacing w:before="160"/>
      <w:jc w:val="center"/>
    </w:pPr>
    <w:rPr>
      <w:i/>
      <w:iCs/>
      <w:color w:val="404040" w:themeColor="text1" w:themeTint="BF"/>
    </w:rPr>
  </w:style>
  <w:style w:type="character" w:customStyle="1" w:styleId="SitatTegn">
    <w:name w:val="Sitat Tegn"/>
    <w:basedOn w:val="Standardskriftforavsnitt"/>
    <w:link w:val="Sitat"/>
    <w:uiPriority w:val="29"/>
    <w:rsid w:val="00771D69"/>
    <w:rPr>
      <w:i/>
      <w:iCs/>
      <w:color w:val="404040" w:themeColor="text1" w:themeTint="BF"/>
    </w:rPr>
  </w:style>
  <w:style w:type="paragraph" w:styleId="Listeavsnitt">
    <w:name w:val="List Paragraph"/>
    <w:basedOn w:val="Normal"/>
    <w:uiPriority w:val="34"/>
    <w:qFormat/>
    <w:rsid w:val="00771D69"/>
    <w:pPr>
      <w:ind w:left="720"/>
      <w:contextualSpacing/>
    </w:pPr>
  </w:style>
  <w:style w:type="character" w:styleId="Sterkutheving">
    <w:name w:val="Intense Emphasis"/>
    <w:basedOn w:val="Standardskriftforavsnitt"/>
    <w:uiPriority w:val="21"/>
    <w:qFormat/>
    <w:rsid w:val="00771D69"/>
    <w:rPr>
      <w:i/>
      <w:iCs/>
      <w:color w:val="0F4761" w:themeColor="accent1" w:themeShade="BF"/>
    </w:rPr>
  </w:style>
  <w:style w:type="paragraph" w:styleId="Sterktsitat">
    <w:name w:val="Intense Quote"/>
    <w:basedOn w:val="Normal"/>
    <w:next w:val="Normal"/>
    <w:link w:val="SterktsitatTegn"/>
    <w:uiPriority w:val="30"/>
    <w:qFormat/>
    <w:rsid w:val="00771D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771D69"/>
    <w:rPr>
      <w:i/>
      <w:iCs/>
      <w:color w:val="0F4761" w:themeColor="accent1" w:themeShade="BF"/>
    </w:rPr>
  </w:style>
  <w:style w:type="character" w:styleId="Sterkreferanse">
    <w:name w:val="Intense Reference"/>
    <w:basedOn w:val="Standardskriftforavsnitt"/>
    <w:uiPriority w:val="32"/>
    <w:qFormat/>
    <w:rsid w:val="00771D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5229</Words>
  <Characters>27715</Characters>
  <Application>Microsoft Office Word</Application>
  <DocSecurity>0</DocSecurity>
  <Lines>230</Lines>
  <Paragraphs>65</Paragraphs>
  <ScaleCrop>false</ScaleCrop>
  <Company/>
  <LinksUpToDate>false</LinksUpToDate>
  <CharactersWithSpaces>32879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Aoudi Chance</dc:creator>
  <cp:keywords/>
  <dc:description/>
  <cp:lastModifiedBy>Emmanuel Aoudi Chance</cp:lastModifiedBy>
  <cp:revision>2</cp:revision>
  <dcterms:created xsi:type="dcterms:W3CDTF">2024-11-07T14:49:00Z</dcterms:created>
  <dcterms:modified xsi:type="dcterms:W3CDTF">2024-11-07T15:06:00Z</dcterms:modified>
</cp:coreProperties>
</file>