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2B8D4A" w14:textId="77777777" w:rsidR="00EA58FD" w:rsidRPr="00EA58FD" w:rsidRDefault="00EA58FD" w:rsidP="00EA58FD">
      <w:pPr>
        <w:pStyle w:val="Heading3"/>
        <w:spacing w:before="0" w:after="0" w:line="276" w:lineRule="auto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EA58F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Supplementary Table 1: Australian Medical Council Criteria for The Preparedness for Internship Survey </w:t>
      </w:r>
      <w:r w:rsidRPr="00EA58FD">
        <w:rPr>
          <w:rFonts w:ascii="Times New Roman" w:hAnsi="Times New Roman" w:cs="Times New Roman"/>
          <w:b/>
          <w:color w:val="000000" w:themeColor="text1"/>
          <w:sz w:val="22"/>
          <w:szCs w:val="22"/>
        </w:rPr>
        <w:fldChar w:fldCharType="begin"/>
      </w:r>
      <w:r w:rsidRPr="00EA58FD">
        <w:rPr>
          <w:rFonts w:ascii="Times New Roman" w:hAnsi="Times New Roman" w:cs="Times New Roman"/>
          <w:b/>
          <w:color w:val="000000" w:themeColor="text1"/>
          <w:sz w:val="22"/>
          <w:szCs w:val="22"/>
        </w:rPr>
        <w:instrText xml:space="preserve"> ADDIN ZOTERO_ITEM CSL_CITATION {"citationID":"T2qHHsli","properties":{"formattedCitation":"(10)","plainCitation":"(10)","noteIndex":0},"citationItems":[{"id":847,"uris":["http://zotero.org/users/11585493/items/8GK9QLCM"],"itemData":{"id":847,"type":"document","title":"National Preparedness for Internship Survey 2017–2019","URL":"https://www.amc.org.au/wp-content/uploads/2021/12/Intern-Survey-evaluation-report-FINAL-for-website.pdf","author":[{"family":"Australian Medical Council","given":""}],"issued":{"date-parts":[["2021",8]]}}}],"schema":"https://github.com/citation-style-language/schema/raw/master/csl-citation.json"} </w:instrText>
      </w:r>
      <w:r w:rsidRPr="00EA58FD">
        <w:rPr>
          <w:rFonts w:ascii="Times New Roman" w:hAnsi="Times New Roman" w:cs="Times New Roman"/>
          <w:b/>
          <w:color w:val="000000" w:themeColor="text1"/>
          <w:sz w:val="22"/>
          <w:szCs w:val="22"/>
        </w:rPr>
        <w:fldChar w:fldCharType="separate"/>
      </w:r>
      <w:r w:rsidRPr="00EA58FD">
        <w:rPr>
          <w:rFonts w:ascii="Times New Roman" w:hAnsi="Times New Roman" w:cs="Times New Roman"/>
          <w:b/>
          <w:noProof/>
          <w:color w:val="000000" w:themeColor="text1"/>
          <w:sz w:val="22"/>
          <w:szCs w:val="22"/>
        </w:rPr>
        <w:t>(10)</w:t>
      </w:r>
      <w:r w:rsidRPr="00EA58FD">
        <w:rPr>
          <w:rFonts w:ascii="Times New Roman" w:hAnsi="Times New Roman" w:cs="Times New Roman"/>
          <w:b/>
          <w:color w:val="000000" w:themeColor="text1"/>
          <w:sz w:val="22"/>
          <w:szCs w:val="22"/>
        </w:rPr>
        <w:fldChar w:fldCharType="end"/>
      </w: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65"/>
        <w:gridCol w:w="6135"/>
      </w:tblGrid>
      <w:tr w:rsidR="00EA58FD" w:rsidRPr="00E31100" w14:paraId="35BB68C9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82946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E31100">
              <w:rPr>
                <w:b/>
                <w:color w:val="000000" w:themeColor="text1"/>
                <w:sz w:val="22"/>
                <w:szCs w:val="22"/>
              </w:rPr>
              <w:t xml:space="preserve">Key Skill 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430A7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E31100">
              <w:rPr>
                <w:b/>
                <w:color w:val="000000" w:themeColor="text1"/>
                <w:sz w:val="22"/>
                <w:szCs w:val="22"/>
              </w:rPr>
              <w:t>Example</w:t>
            </w:r>
          </w:p>
        </w:tc>
      </w:tr>
      <w:tr w:rsidR="00EA58FD" w:rsidRPr="00E31100" w14:paraId="7C72C184" w14:textId="77777777" w:rsidTr="000C0268">
        <w:trPr>
          <w:trHeight w:val="19"/>
        </w:trPr>
        <w:tc>
          <w:tcPr>
            <w:tcW w:w="90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FB2FE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E31100">
              <w:rPr>
                <w:b/>
                <w:color w:val="000000" w:themeColor="text1"/>
                <w:sz w:val="22"/>
                <w:szCs w:val="22"/>
              </w:rPr>
              <w:t xml:space="preserve">CORE CLINICAL </w:t>
            </w:r>
          </w:p>
        </w:tc>
      </w:tr>
      <w:tr w:rsidR="00EA58FD" w:rsidRPr="00E31100" w14:paraId="74F6ECCD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6DFE9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Take History 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8CA55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Taking a history </w:t>
            </w:r>
          </w:p>
        </w:tc>
      </w:tr>
      <w:tr w:rsidR="00EA58FD" w:rsidRPr="00E31100" w14:paraId="2494E6D4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77114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Physical exam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9E8CE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Examining patients </w:t>
            </w:r>
          </w:p>
        </w:tc>
      </w:tr>
      <w:tr w:rsidR="00EA58FD" w:rsidRPr="00E31100" w14:paraId="2E5C5107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80B22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Select investigations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0196D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Selecting appropriate investigations </w:t>
            </w:r>
          </w:p>
        </w:tc>
      </w:tr>
      <w:tr w:rsidR="00EA58FD" w:rsidRPr="00E31100" w14:paraId="25D6B3DB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D38A2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Deteriorating patient 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27671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Recognising a deteriorating patient </w:t>
            </w:r>
          </w:p>
        </w:tc>
      </w:tr>
      <w:tr w:rsidR="00EA58FD" w:rsidRPr="00E31100" w14:paraId="3E3ED122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E9421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Make diagnosis 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578FA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Using clinical diagnosis and making a diagnosis </w:t>
            </w:r>
          </w:p>
        </w:tc>
      </w:tr>
      <w:tr w:rsidR="00EA58FD" w:rsidRPr="00E31100" w14:paraId="5A4EE787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9D5AE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Interpret investigations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733E6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Interpreting the results of investigations</w:t>
            </w:r>
          </w:p>
        </w:tc>
      </w:tr>
      <w:tr w:rsidR="00EA58FD" w:rsidRPr="00E31100" w14:paraId="643CA688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5123E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IV fluids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99316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Ordering IV fluids and blood products</w:t>
            </w:r>
          </w:p>
        </w:tc>
      </w:tr>
      <w:tr w:rsidR="00EA58FD" w:rsidRPr="00E31100" w14:paraId="1430D950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D8CB2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Prescribe drugs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B419C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Prescribing safely and calculating accurate drug dosages </w:t>
            </w:r>
          </w:p>
        </w:tc>
      </w:tr>
      <w:tr w:rsidR="00EA58FD" w:rsidRPr="00E31100" w14:paraId="6FA0671A" w14:textId="77777777" w:rsidTr="000C0268">
        <w:trPr>
          <w:trHeight w:val="19"/>
        </w:trPr>
        <w:tc>
          <w:tcPr>
            <w:tcW w:w="90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D8B29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E31100">
              <w:rPr>
                <w:b/>
                <w:color w:val="000000" w:themeColor="text1"/>
                <w:sz w:val="22"/>
                <w:szCs w:val="22"/>
              </w:rPr>
              <w:t>PATIENT-CENTRED</w:t>
            </w:r>
          </w:p>
        </w:tc>
      </w:tr>
      <w:tr w:rsidR="00EA58FD" w:rsidRPr="00E31100" w14:paraId="7477F31C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04E06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Communicate with patients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E2680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Communicating effectively and sensitively with patients and relatives</w:t>
            </w:r>
          </w:p>
        </w:tc>
      </w:tr>
      <w:tr w:rsidR="00EA58FD" w:rsidRPr="00E31100" w14:paraId="6C25B129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6679E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Involve patients in decisions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1E832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Involving the patient in decision-making</w:t>
            </w:r>
          </w:p>
        </w:tc>
      </w:tr>
      <w:tr w:rsidR="00EA58FD" w:rsidRPr="00E31100" w14:paraId="3803C200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A5A6B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Emotional factors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BA3B3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Recognising the impact of social and emotional factors in illness and treatment</w:t>
            </w:r>
          </w:p>
        </w:tc>
      </w:tr>
      <w:tr w:rsidR="00EA58FD" w:rsidRPr="00E31100" w14:paraId="5D828349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647C8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Cultural factors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C6599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Providing appropriate care for people of different cultures</w:t>
            </w:r>
          </w:p>
        </w:tc>
      </w:tr>
      <w:tr w:rsidR="00EA58FD" w:rsidRPr="00E31100" w14:paraId="057C5FA0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37D27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Care for Indigenous patients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5481E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Providing care for Aboriginal and Torres Strait Islanders</w:t>
            </w:r>
          </w:p>
        </w:tc>
      </w:tr>
      <w:tr w:rsidR="00EA58FD" w:rsidRPr="00E31100" w14:paraId="7FA637FA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D1D80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Advise lifestyle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16D97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Providing advice on diet, lifestyle and wellbeing</w:t>
            </w:r>
          </w:p>
        </w:tc>
      </w:tr>
      <w:tr w:rsidR="00EA58FD" w:rsidRPr="00E31100" w14:paraId="6910A9AA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E5EB1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Nutritional care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3834A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Recognising the need for basic nutritional care </w:t>
            </w:r>
          </w:p>
        </w:tc>
      </w:tr>
      <w:tr w:rsidR="00EA58FD" w:rsidRPr="00E31100" w14:paraId="0AA3129A" w14:textId="77777777" w:rsidTr="000C0268">
        <w:trPr>
          <w:trHeight w:val="19"/>
        </w:trPr>
        <w:tc>
          <w:tcPr>
            <w:tcW w:w="90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9BB4B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E31100">
              <w:rPr>
                <w:b/>
                <w:color w:val="000000" w:themeColor="text1"/>
                <w:sz w:val="22"/>
                <w:szCs w:val="22"/>
              </w:rPr>
              <w:t>DOCUMENT</w:t>
            </w:r>
          </w:p>
        </w:tc>
      </w:tr>
      <w:tr w:rsidR="00EA58FD" w:rsidRPr="00E31100" w14:paraId="1B07DBE5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D5611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Medical records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BA5E3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Keeping an accurate and relevant medical record (documenting in charts) </w:t>
            </w:r>
          </w:p>
        </w:tc>
      </w:tr>
      <w:tr w:rsidR="00EA58FD" w:rsidRPr="00E31100" w14:paraId="14EE4415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B9F5C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Discharge summary 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D449E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Writing a discharge summary for patients </w:t>
            </w:r>
          </w:p>
        </w:tc>
      </w:tr>
      <w:tr w:rsidR="00EA58FD" w:rsidRPr="00E31100" w14:paraId="5E94E7DD" w14:textId="77777777" w:rsidTr="000C0268">
        <w:trPr>
          <w:trHeight w:val="19"/>
        </w:trPr>
        <w:tc>
          <w:tcPr>
            <w:tcW w:w="90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69593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E31100">
              <w:rPr>
                <w:b/>
                <w:color w:val="000000" w:themeColor="text1"/>
                <w:sz w:val="22"/>
                <w:szCs w:val="22"/>
              </w:rPr>
              <w:t>HOSPITAL SYSTEM</w:t>
            </w:r>
          </w:p>
        </w:tc>
      </w:tr>
      <w:tr w:rsidR="00EA58FD" w:rsidRPr="00E31100" w14:paraId="51026F70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003B9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Prevent cross-infection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B7C0A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Reducing risk of cross-infection</w:t>
            </w:r>
          </w:p>
        </w:tc>
      </w:tr>
      <w:tr w:rsidR="00EA58FD" w:rsidRPr="00E31100" w14:paraId="4FE069EE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9F36D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Ensuring patient safety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C9157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Ensuring and promoting patient safety </w:t>
            </w:r>
          </w:p>
        </w:tc>
      </w:tr>
      <w:tr w:rsidR="00EA58FD" w:rsidRPr="00E31100" w14:paraId="1D2615AF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CB98F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lastRenderedPageBreak/>
              <w:t>Quality improvement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78494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Undertaking initiatives for improved quality of patient care (e.g. clinical audit for patient care) </w:t>
            </w:r>
          </w:p>
        </w:tc>
      </w:tr>
      <w:tr w:rsidR="00EA58FD" w:rsidRPr="00E31100" w14:paraId="2340AE15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A8E0C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Informatics data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85A64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Understanding the role of clinical informatics and data technology in improving healthcare</w:t>
            </w:r>
          </w:p>
        </w:tc>
      </w:tr>
      <w:tr w:rsidR="00EA58FD" w:rsidRPr="00E31100" w14:paraId="235F6CEF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329EF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Report errors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C622F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Reporting and dealing with error and safety incidents </w:t>
            </w:r>
          </w:p>
        </w:tc>
      </w:tr>
      <w:tr w:rsidR="00EA58FD" w:rsidRPr="00E31100" w14:paraId="7D14AED6" w14:textId="77777777" w:rsidTr="000C0268">
        <w:trPr>
          <w:trHeight w:val="19"/>
        </w:trPr>
        <w:tc>
          <w:tcPr>
            <w:tcW w:w="90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2C7B8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E31100">
              <w:rPr>
                <w:b/>
                <w:color w:val="000000" w:themeColor="text1"/>
                <w:sz w:val="22"/>
                <w:szCs w:val="22"/>
              </w:rPr>
              <w:t>PROCEDURAL</w:t>
            </w:r>
          </w:p>
        </w:tc>
      </w:tr>
      <w:tr w:rsidR="00EA58FD" w:rsidRPr="00E31100" w14:paraId="0B259218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45582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IV Cannulation 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1292D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Performing IV cannulation </w:t>
            </w:r>
          </w:p>
        </w:tc>
      </w:tr>
      <w:tr w:rsidR="00EA58FD" w:rsidRPr="00E31100" w14:paraId="5E71961C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26807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Advanced Life Support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DAF0E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Taking part in advanced life support </w:t>
            </w:r>
          </w:p>
        </w:tc>
      </w:tr>
      <w:tr w:rsidR="00EA58FD" w:rsidRPr="00E31100" w14:paraId="65130556" w14:textId="77777777" w:rsidTr="000C0268">
        <w:trPr>
          <w:trHeight w:val="19"/>
        </w:trPr>
        <w:tc>
          <w:tcPr>
            <w:tcW w:w="90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88AD6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E31100">
              <w:rPr>
                <w:b/>
                <w:color w:val="000000" w:themeColor="text1"/>
                <w:sz w:val="22"/>
                <w:szCs w:val="22"/>
              </w:rPr>
              <w:t>SELF MANAGEMENT</w:t>
            </w:r>
          </w:p>
        </w:tc>
      </w:tr>
      <w:tr w:rsidR="00EA58FD" w:rsidRPr="00E31100" w14:paraId="752D7134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0AD07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Know own limits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AB7E3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Being aware of your limitations</w:t>
            </w:r>
          </w:p>
        </w:tc>
      </w:tr>
      <w:tr w:rsidR="00EA58FD" w:rsidRPr="00E31100" w14:paraId="6D39BAC0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CCDC0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31100">
              <w:rPr>
                <w:color w:val="000000" w:themeColor="text1"/>
                <w:sz w:val="22"/>
                <w:szCs w:val="22"/>
              </w:rPr>
              <w:t>Self critique</w:t>
            </w:r>
            <w:proofErr w:type="spellEnd"/>
            <w:r w:rsidRPr="00E31100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E3450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Engaging in self-critique of practice and clinical encounters</w:t>
            </w:r>
          </w:p>
        </w:tc>
      </w:tr>
      <w:tr w:rsidR="00EA58FD" w:rsidRPr="00E31100" w14:paraId="6C1EB9B4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E41D9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Critical appraisal 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10377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Undertaking critical appraisal of clinical decisions and therapeutic strategies using literature, data and other evidence</w:t>
            </w:r>
          </w:p>
        </w:tc>
      </w:tr>
      <w:tr w:rsidR="00EA58FD" w:rsidRPr="00E31100" w14:paraId="762E5870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7278C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Sound time management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51B20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Undertaking sound time management</w:t>
            </w:r>
          </w:p>
        </w:tc>
      </w:tr>
      <w:tr w:rsidR="00EA58FD" w:rsidRPr="00E31100" w14:paraId="32D23556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3BB45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Manage own health 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43497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Managing own health, including stress</w:t>
            </w:r>
          </w:p>
        </w:tc>
      </w:tr>
      <w:tr w:rsidR="00EA58FD" w:rsidRPr="00E31100" w14:paraId="766D3526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4EBB9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Cope with uncertainty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3FCFC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Coping with uncertainty </w:t>
            </w:r>
          </w:p>
        </w:tc>
      </w:tr>
      <w:tr w:rsidR="00EA58FD" w:rsidRPr="00E31100" w14:paraId="5A241383" w14:textId="77777777" w:rsidTr="000C0268">
        <w:trPr>
          <w:trHeight w:val="97"/>
        </w:trPr>
        <w:tc>
          <w:tcPr>
            <w:tcW w:w="90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CD855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E31100">
              <w:rPr>
                <w:b/>
                <w:color w:val="000000" w:themeColor="text1"/>
                <w:sz w:val="22"/>
                <w:szCs w:val="22"/>
              </w:rPr>
              <w:t>TEAM</w:t>
            </w:r>
          </w:p>
        </w:tc>
      </w:tr>
      <w:tr w:rsidR="00EA58FD" w:rsidRPr="00E31100" w14:paraId="591D522B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D723D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Participate in multidisciplinary team 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46C58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Working effectively as a member of a multi-disciplinary team </w:t>
            </w:r>
          </w:p>
        </w:tc>
      </w:tr>
      <w:tr w:rsidR="00EA58FD" w:rsidRPr="00E31100" w14:paraId="50160219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63288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Communicate with colleagues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D6F5D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Communicating effectively with colleagues</w:t>
            </w:r>
          </w:p>
        </w:tc>
      </w:tr>
      <w:tr w:rsidR="00EA58FD" w:rsidRPr="00E31100" w14:paraId="3551E306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B6593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Clinical handover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4B935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Providing a clinical handover</w:t>
            </w:r>
          </w:p>
        </w:tc>
      </w:tr>
      <w:tr w:rsidR="00EA58FD" w:rsidRPr="00E31100" w14:paraId="24F86D66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F1C92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Teaching role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7DA24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Undertaking a teaching role </w:t>
            </w:r>
          </w:p>
        </w:tc>
      </w:tr>
      <w:tr w:rsidR="00EA58FD" w:rsidRPr="00E31100" w14:paraId="5FAA4386" w14:textId="77777777" w:rsidTr="000C0268">
        <w:trPr>
          <w:trHeight w:val="19"/>
        </w:trPr>
        <w:tc>
          <w:tcPr>
            <w:tcW w:w="90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99F1E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E31100">
              <w:rPr>
                <w:b/>
                <w:color w:val="000000" w:themeColor="text1"/>
                <w:sz w:val="22"/>
                <w:szCs w:val="22"/>
              </w:rPr>
              <w:t>PROFESSIONAL</w:t>
            </w:r>
          </w:p>
        </w:tc>
      </w:tr>
      <w:tr w:rsidR="00EA58FD" w:rsidRPr="00E31100" w14:paraId="2A3CC9F6" w14:textId="77777777" w:rsidTr="000C0268"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D4EAA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Professional manner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F8136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Acting in a professional manner (with honesty and probity)</w:t>
            </w:r>
          </w:p>
        </w:tc>
      </w:tr>
      <w:tr w:rsidR="00EA58FD" w:rsidRPr="00E31100" w14:paraId="0B34DFCC" w14:textId="77777777" w:rsidTr="000C0268">
        <w:trPr>
          <w:trHeight w:val="520"/>
        </w:trPr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CB7EF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>Ethical and Legal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9364C" w14:textId="77777777" w:rsidR="00EA58FD" w:rsidRPr="00E31100" w:rsidRDefault="00EA58FD" w:rsidP="000C02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E31100">
              <w:rPr>
                <w:color w:val="000000" w:themeColor="text1"/>
                <w:sz w:val="22"/>
                <w:szCs w:val="22"/>
              </w:rPr>
              <w:t xml:space="preserve">Incorporating ethical and legal issues into clinical situations (such as confidentiality and consent) </w:t>
            </w:r>
          </w:p>
        </w:tc>
      </w:tr>
    </w:tbl>
    <w:p w14:paraId="067A54F4" w14:textId="77777777" w:rsidR="00EA58FD" w:rsidRPr="00E31100" w:rsidRDefault="00EA58FD" w:rsidP="00EA58FD">
      <w:pPr>
        <w:spacing w:line="276" w:lineRule="auto"/>
        <w:rPr>
          <w:sz w:val="22"/>
          <w:szCs w:val="22"/>
        </w:rPr>
      </w:pPr>
    </w:p>
    <w:p w14:paraId="594FE741" w14:textId="77777777" w:rsidR="00D77B31" w:rsidRDefault="00D77B31"/>
    <w:sectPr w:rsidR="00D77B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8FD"/>
    <w:rsid w:val="00A27F75"/>
    <w:rsid w:val="00D77B31"/>
    <w:rsid w:val="00EA58FD"/>
    <w:rsid w:val="00F3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1B47DB"/>
  <w15:chartTrackingRefBased/>
  <w15:docId w15:val="{869376DB-75D2-EC4F-BD42-F8BD23126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5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58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8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8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8F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8F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8F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8F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8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8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8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8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8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8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8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5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8F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5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8FD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58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8FD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58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8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8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Louey</dc:creator>
  <cp:keywords/>
  <dc:description/>
  <cp:lastModifiedBy>Caitlin Louey</cp:lastModifiedBy>
  <cp:revision>1</cp:revision>
  <dcterms:created xsi:type="dcterms:W3CDTF">2025-01-28T04:32:00Z</dcterms:created>
  <dcterms:modified xsi:type="dcterms:W3CDTF">2025-01-28T04:33:00Z</dcterms:modified>
</cp:coreProperties>
</file>