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7E265" w14:textId="517DA5B1" w:rsidR="007B668A" w:rsidRPr="00924F4A" w:rsidRDefault="000E015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24F4A">
        <w:rPr>
          <w:rFonts w:ascii="Times New Roman" w:hAnsi="Times New Roman" w:cs="Times New Roman"/>
          <w:b/>
          <w:bCs/>
          <w:sz w:val="20"/>
          <w:szCs w:val="20"/>
        </w:rPr>
        <w:t xml:space="preserve">Supp. Table </w:t>
      </w:r>
      <w:r w:rsidR="003B5697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924F4A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924F4A">
        <w:rPr>
          <w:rFonts w:ascii="Times New Roman" w:hAnsi="Times New Roman" w:cs="Times New Roman"/>
          <w:sz w:val="20"/>
          <w:szCs w:val="20"/>
        </w:rPr>
        <w:t>Quality Appraisal Table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616"/>
        <w:gridCol w:w="3174"/>
        <w:gridCol w:w="1677"/>
        <w:gridCol w:w="827"/>
        <w:gridCol w:w="1416"/>
        <w:gridCol w:w="1362"/>
      </w:tblGrid>
      <w:tr w:rsidR="00924F4A" w:rsidRPr="00924F4A" w14:paraId="0E9537CC" w14:textId="77777777" w:rsidTr="00924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E69737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Ref No</w:t>
            </w:r>
          </w:p>
        </w:tc>
        <w:tc>
          <w:tcPr>
            <w:tcW w:w="0" w:type="auto"/>
            <w:hideMark/>
          </w:tcPr>
          <w:p w14:paraId="1D43CE7B" w14:textId="77777777" w:rsidR="00924F4A" w:rsidRPr="00924F4A" w:rsidRDefault="00924F4A" w:rsidP="00924F4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Author(s) &amp; Source</w:t>
            </w:r>
          </w:p>
        </w:tc>
        <w:tc>
          <w:tcPr>
            <w:tcW w:w="0" w:type="auto"/>
            <w:hideMark/>
          </w:tcPr>
          <w:p w14:paraId="4D5512AF" w14:textId="77777777" w:rsidR="00924F4A" w:rsidRPr="00924F4A" w:rsidRDefault="00924F4A" w:rsidP="00924F4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0" w:type="auto"/>
            <w:hideMark/>
          </w:tcPr>
          <w:p w14:paraId="53BAA0C9" w14:textId="77777777" w:rsidR="00924F4A" w:rsidRPr="00924F4A" w:rsidRDefault="00924F4A" w:rsidP="00924F4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</w:p>
        </w:tc>
        <w:tc>
          <w:tcPr>
            <w:tcW w:w="0" w:type="auto"/>
            <w:hideMark/>
          </w:tcPr>
          <w:p w14:paraId="39B7175C" w14:textId="77777777" w:rsidR="00924F4A" w:rsidRPr="00924F4A" w:rsidRDefault="00924F4A" w:rsidP="00924F4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Transparency</w:t>
            </w:r>
          </w:p>
        </w:tc>
        <w:tc>
          <w:tcPr>
            <w:tcW w:w="0" w:type="auto"/>
            <w:hideMark/>
          </w:tcPr>
          <w:p w14:paraId="4008042E" w14:textId="77777777" w:rsidR="00924F4A" w:rsidRPr="00924F4A" w:rsidRDefault="00924F4A" w:rsidP="00924F4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Outcome Relevance</w:t>
            </w:r>
          </w:p>
        </w:tc>
      </w:tr>
      <w:tr w:rsidR="00924F4A" w:rsidRPr="00924F4A" w14:paraId="78901E96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8A53D8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EBF4AE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 xml:space="preserve">Cirillo, </w:t>
            </w:r>
            <w:r w:rsidRPr="00924F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 Pomodoro Technique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 xml:space="preserve"> (2009)</w:t>
            </w:r>
          </w:p>
        </w:tc>
        <w:tc>
          <w:tcPr>
            <w:tcW w:w="0" w:type="auto"/>
            <w:hideMark/>
          </w:tcPr>
          <w:p w14:paraId="5BAA4E8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Book</w:t>
            </w:r>
          </w:p>
        </w:tc>
        <w:tc>
          <w:tcPr>
            <w:tcW w:w="0" w:type="auto"/>
            <w:hideMark/>
          </w:tcPr>
          <w:p w14:paraId="2F9432A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36798FD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186512D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Literature</w:t>
            </w:r>
          </w:p>
        </w:tc>
      </w:tr>
      <w:tr w:rsidR="00924F4A" w:rsidRPr="00924F4A" w14:paraId="46284A3E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F25CF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2BE4A4E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 xml:space="preserve">Cirillo, </w:t>
            </w:r>
            <w:r w:rsidRPr="00924F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The Pomodoro Technique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 xml:space="preserve"> (2013)</w:t>
            </w:r>
          </w:p>
        </w:tc>
        <w:tc>
          <w:tcPr>
            <w:tcW w:w="0" w:type="auto"/>
            <w:hideMark/>
          </w:tcPr>
          <w:p w14:paraId="7D9613F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Book (Revised)</w:t>
            </w:r>
          </w:p>
        </w:tc>
        <w:tc>
          <w:tcPr>
            <w:tcW w:w="0" w:type="auto"/>
            <w:hideMark/>
          </w:tcPr>
          <w:p w14:paraId="0188EED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D3F1DD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7968D7B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Literature</w:t>
            </w:r>
          </w:p>
        </w:tc>
      </w:tr>
      <w:tr w:rsidR="00924F4A" w:rsidRPr="00924F4A" w14:paraId="08812AFA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B5005F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44DBF9C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Burton, “Can a Tomato Increase Your Productivity?” (2016)</w:t>
            </w:r>
          </w:p>
        </w:tc>
        <w:tc>
          <w:tcPr>
            <w:tcW w:w="0" w:type="auto"/>
            <w:hideMark/>
          </w:tcPr>
          <w:p w14:paraId="460B1DA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Opinion article</w:t>
            </w:r>
          </w:p>
        </w:tc>
        <w:tc>
          <w:tcPr>
            <w:tcW w:w="0" w:type="auto"/>
            <w:hideMark/>
          </w:tcPr>
          <w:p w14:paraId="337CF33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B8A9E1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6FE03C96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Limited</w:t>
            </w:r>
          </w:p>
        </w:tc>
      </w:tr>
      <w:tr w:rsidR="00924F4A" w:rsidRPr="00924F4A" w14:paraId="4AC8BA9D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5A5C4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4B924CF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 xml:space="preserve">Carter, </w:t>
            </w:r>
            <w:r w:rsidRPr="00924F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Beginner’s Guide…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 xml:space="preserve"> (2015)</w:t>
            </w:r>
          </w:p>
        </w:tc>
        <w:tc>
          <w:tcPr>
            <w:tcW w:w="0" w:type="auto"/>
            <w:hideMark/>
          </w:tcPr>
          <w:p w14:paraId="469F2BF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Popular book</w:t>
            </w:r>
          </w:p>
        </w:tc>
        <w:tc>
          <w:tcPr>
            <w:tcW w:w="0" w:type="auto"/>
            <w:hideMark/>
          </w:tcPr>
          <w:p w14:paraId="6365ADB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EC543C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14:paraId="00C6196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</w:tr>
      <w:tr w:rsidR="00924F4A" w:rsidRPr="00924F4A" w14:paraId="3AEE0373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ABF61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0D0CF2F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Gobbo &amp; Vaccari, “Pomodoro in XP Teams” (2008)</w:t>
            </w:r>
          </w:p>
        </w:tc>
        <w:tc>
          <w:tcPr>
            <w:tcW w:w="0" w:type="auto"/>
            <w:hideMark/>
          </w:tcPr>
          <w:p w14:paraId="44D1344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Conference paper</w:t>
            </w:r>
          </w:p>
        </w:tc>
        <w:tc>
          <w:tcPr>
            <w:tcW w:w="0" w:type="auto"/>
            <w:hideMark/>
          </w:tcPr>
          <w:p w14:paraId="28CEBBF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E0DD37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37642D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75BCD99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071D1B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23F475D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Shinoda, “Pomodoro for Student Reading…” (2020)</w:t>
            </w:r>
          </w:p>
        </w:tc>
        <w:tc>
          <w:tcPr>
            <w:tcW w:w="0" w:type="auto"/>
            <w:hideMark/>
          </w:tcPr>
          <w:p w14:paraId="74599B8F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2CB1B0B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7D5286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77B118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0D3BA1B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EB157D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50A42B0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Ogut, Yildirim &amp; Şenol, “Learning Styles Affect Success?” (2017)</w:t>
            </w:r>
          </w:p>
        </w:tc>
        <w:tc>
          <w:tcPr>
            <w:tcW w:w="0" w:type="auto"/>
            <w:hideMark/>
          </w:tcPr>
          <w:p w14:paraId="4512DA5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7F4E5985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BCD4C6F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DFA27C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FDBC9B6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9770F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7DD6187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Baars, Wijnia &amp; Paas, “Motivation, Affect…” (2017)</w:t>
            </w:r>
          </w:p>
        </w:tc>
        <w:tc>
          <w:tcPr>
            <w:tcW w:w="0" w:type="auto"/>
            <w:hideMark/>
          </w:tcPr>
          <w:p w14:paraId="19763BF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67E65FC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BF5E76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3BA5F0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7B0D9D4F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619DE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59AB2FD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Trumble et al., “Distributed Practice Systematic Review” (2024)</w:t>
            </w:r>
          </w:p>
        </w:tc>
        <w:tc>
          <w:tcPr>
            <w:tcW w:w="0" w:type="auto"/>
            <w:hideMark/>
          </w:tcPr>
          <w:p w14:paraId="17563A6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  <w:tc>
          <w:tcPr>
            <w:tcW w:w="0" w:type="auto"/>
            <w:hideMark/>
          </w:tcPr>
          <w:p w14:paraId="620BFE6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12A8B1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82769A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6B905FD0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58E359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7116ACB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Cepeda et al., “Distributed Practice meta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analysis” (2006)</w:t>
            </w:r>
          </w:p>
        </w:tc>
        <w:tc>
          <w:tcPr>
            <w:tcW w:w="0" w:type="auto"/>
            <w:hideMark/>
          </w:tcPr>
          <w:p w14:paraId="0DECCB1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Meta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analysis</w:t>
            </w:r>
          </w:p>
        </w:tc>
        <w:tc>
          <w:tcPr>
            <w:tcW w:w="0" w:type="auto"/>
            <w:hideMark/>
          </w:tcPr>
          <w:p w14:paraId="5037E65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B8C0E7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713BEEE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2403819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B8A6F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72EA7466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Kelley &amp; Whatson, “Spaced Learning Pattern” (2013)</w:t>
            </w:r>
          </w:p>
        </w:tc>
        <w:tc>
          <w:tcPr>
            <w:tcW w:w="0" w:type="auto"/>
            <w:hideMark/>
          </w:tcPr>
          <w:p w14:paraId="2780540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01239A6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DE66A4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B882D5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654F2337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B4FA97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14:paraId="2DFE2EB9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Biwer et al., “Pomodoro vs. Self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regulated Breaks” (2023)</w:t>
            </w:r>
          </w:p>
        </w:tc>
        <w:tc>
          <w:tcPr>
            <w:tcW w:w="0" w:type="auto"/>
            <w:hideMark/>
          </w:tcPr>
          <w:p w14:paraId="0B534E1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15E6BA5F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F8879F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1BC066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7CB48E57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06E7D9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2BF934C5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Santiago &amp; Gurat, “Genetics Concept Mastery” (2023)</w:t>
            </w:r>
          </w:p>
        </w:tc>
        <w:tc>
          <w:tcPr>
            <w:tcW w:w="0" w:type="auto"/>
            <w:hideMark/>
          </w:tcPr>
          <w:p w14:paraId="126A213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0C89F96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432A36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5B2F02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62AB16ED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C58EF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14:paraId="7709D71E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Ghosh, “Cadaveric Dissection…” (2016)</w:t>
            </w:r>
          </w:p>
        </w:tc>
        <w:tc>
          <w:tcPr>
            <w:tcW w:w="0" w:type="auto"/>
            <w:hideMark/>
          </w:tcPr>
          <w:p w14:paraId="4F8E87BE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Review/Empirical</w:t>
            </w:r>
          </w:p>
        </w:tc>
        <w:tc>
          <w:tcPr>
            <w:tcW w:w="0" w:type="auto"/>
            <w:hideMark/>
          </w:tcPr>
          <w:p w14:paraId="29FA68F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69925D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Partial</w:t>
            </w:r>
          </w:p>
        </w:tc>
        <w:tc>
          <w:tcPr>
            <w:tcW w:w="0" w:type="auto"/>
            <w:hideMark/>
          </w:tcPr>
          <w:p w14:paraId="3C4CA03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B540665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9B5DBC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14:paraId="5B67D4C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Ismail et al., “Zoom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Based Classrooms” (2022)</w:t>
            </w:r>
          </w:p>
        </w:tc>
        <w:tc>
          <w:tcPr>
            <w:tcW w:w="0" w:type="auto"/>
            <w:hideMark/>
          </w:tcPr>
          <w:p w14:paraId="3959D9B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47010C2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E3C1E7F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36A97F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9A16051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85FE40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14:paraId="0C77A183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Iyengar, Vaishya &amp; Botchu, “Apply Pomodoro in Publishing?” (2023)</w:t>
            </w:r>
          </w:p>
        </w:tc>
        <w:tc>
          <w:tcPr>
            <w:tcW w:w="0" w:type="auto"/>
            <w:hideMark/>
          </w:tcPr>
          <w:p w14:paraId="647BE44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Commentary</w:t>
            </w:r>
          </w:p>
        </w:tc>
        <w:tc>
          <w:tcPr>
            <w:tcW w:w="0" w:type="auto"/>
            <w:hideMark/>
          </w:tcPr>
          <w:p w14:paraId="7FF133E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361C8D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Partial</w:t>
            </w:r>
          </w:p>
        </w:tc>
        <w:tc>
          <w:tcPr>
            <w:tcW w:w="0" w:type="auto"/>
            <w:hideMark/>
          </w:tcPr>
          <w:p w14:paraId="3962AD5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924F4A" w:rsidRPr="00924F4A" w14:paraId="48311796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F8B840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06C14B4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Rafliyanto &amp; Mukhlis, “Pomodoro in Islamic Education” (2023)</w:t>
            </w:r>
          </w:p>
        </w:tc>
        <w:tc>
          <w:tcPr>
            <w:tcW w:w="0" w:type="auto"/>
            <w:hideMark/>
          </w:tcPr>
          <w:p w14:paraId="4071254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4FAFE9C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AA7B6E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F21A12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08B180A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62A00C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14:paraId="48A2BBEF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Biwer et al., “Self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Regulate Online Learning” (2021)</w:t>
            </w:r>
          </w:p>
        </w:tc>
        <w:tc>
          <w:tcPr>
            <w:tcW w:w="0" w:type="auto"/>
            <w:hideMark/>
          </w:tcPr>
          <w:p w14:paraId="261095E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655426E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86506D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6C361C9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0E20EF4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25FE11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hideMark/>
          </w:tcPr>
          <w:p w14:paraId="2390A22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Seufert, “Self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Regulation &amp; Cognitive Load” (2018)</w:t>
            </w:r>
          </w:p>
        </w:tc>
        <w:tc>
          <w:tcPr>
            <w:tcW w:w="0" w:type="auto"/>
            <w:hideMark/>
          </w:tcPr>
          <w:p w14:paraId="7EA8783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2017F67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2565CFD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63A2D2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5F96140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64507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0" w:type="auto"/>
            <w:hideMark/>
          </w:tcPr>
          <w:p w14:paraId="626F334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Ruensuk, “Pomodoro in Agile Software” (2016)</w:t>
            </w:r>
          </w:p>
        </w:tc>
        <w:tc>
          <w:tcPr>
            <w:tcW w:w="0" w:type="auto"/>
            <w:hideMark/>
          </w:tcPr>
          <w:p w14:paraId="5F0E188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Conference paper</w:t>
            </w:r>
          </w:p>
        </w:tc>
        <w:tc>
          <w:tcPr>
            <w:tcW w:w="0" w:type="auto"/>
            <w:hideMark/>
          </w:tcPr>
          <w:p w14:paraId="3AD0040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9376C9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E4DB3D9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2328BE0E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14B0C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hideMark/>
          </w:tcPr>
          <w:p w14:paraId="33CEF55F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Šmite et al., “Agility Across Time and Space” (2010)</w:t>
            </w:r>
          </w:p>
        </w:tc>
        <w:tc>
          <w:tcPr>
            <w:tcW w:w="0" w:type="auto"/>
            <w:hideMark/>
          </w:tcPr>
          <w:p w14:paraId="25A81C0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Book chapter</w:t>
            </w:r>
          </w:p>
        </w:tc>
        <w:tc>
          <w:tcPr>
            <w:tcW w:w="0" w:type="auto"/>
            <w:hideMark/>
          </w:tcPr>
          <w:p w14:paraId="3D46E159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33FF9C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Partial</w:t>
            </w:r>
          </w:p>
        </w:tc>
        <w:tc>
          <w:tcPr>
            <w:tcW w:w="0" w:type="auto"/>
            <w:hideMark/>
          </w:tcPr>
          <w:p w14:paraId="285D6CE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924F4A" w:rsidRPr="00924F4A" w14:paraId="05EA4A67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0FDF86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hideMark/>
          </w:tcPr>
          <w:p w14:paraId="14FEF99D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Awano, “Pomodoro + 2D Games” (2020)</w:t>
            </w:r>
          </w:p>
        </w:tc>
        <w:tc>
          <w:tcPr>
            <w:tcW w:w="0" w:type="auto"/>
            <w:hideMark/>
          </w:tcPr>
          <w:p w14:paraId="14BABF19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Conference paper</w:t>
            </w:r>
          </w:p>
        </w:tc>
        <w:tc>
          <w:tcPr>
            <w:tcW w:w="0" w:type="auto"/>
            <w:hideMark/>
          </w:tcPr>
          <w:p w14:paraId="5B41EB5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AEF1AFE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1EB2B5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DA0CC46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3501D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hideMark/>
          </w:tcPr>
          <w:p w14:paraId="7493BC2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Usman, “Pomodoro for Tech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Multitasking” (2020)</w:t>
            </w:r>
          </w:p>
        </w:tc>
        <w:tc>
          <w:tcPr>
            <w:tcW w:w="0" w:type="auto"/>
            <w:hideMark/>
          </w:tcPr>
          <w:p w14:paraId="62A6802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Thesis</w:t>
            </w:r>
          </w:p>
        </w:tc>
        <w:tc>
          <w:tcPr>
            <w:tcW w:w="0" w:type="auto"/>
            <w:hideMark/>
          </w:tcPr>
          <w:p w14:paraId="288F63C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FF2F28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64EF1D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5773E79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C98D57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14:paraId="5B4042B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Paulus et al., “Standing Breaks…” (2021)</w:t>
            </w:r>
          </w:p>
        </w:tc>
        <w:tc>
          <w:tcPr>
            <w:tcW w:w="0" w:type="auto"/>
            <w:hideMark/>
          </w:tcPr>
          <w:p w14:paraId="4B4CF12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61CC2A4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07DC53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403EBB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5D8D0F5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A4841F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hideMark/>
          </w:tcPr>
          <w:p w14:paraId="646D5CC5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Chen et al., “Cognitive Load &amp; Spacing Effect” (2018)</w:t>
            </w:r>
          </w:p>
        </w:tc>
        <w:tc>
          <w:tcPr>
            <w:tcW w:w="0" w:type="auto"/>
            <w:hideMark/>
          </w:tcPr>
          <w:p w14:paraId="528CE4A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022CDAE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DD56EB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00408F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604DC70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D5300E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hideMark/>
          </w:tcPr>
          <w:p w14:paraId="72A155E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Eitel et al., “Self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Management &amp; Cognitive Load” (2020)</w:t>
            </w:r>
          </w:p>
        </w:tc>
        <w:tc>
          <w:tcPr>
            <w:tcW w:w="0" w:type="auto"/>
            <w:hideMark/>
          </w:tcPr>
          <w:p w14:paraId="3268C64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788B38FA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015CEF3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FB10B2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0B9C49EF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897A4B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hideMark/>
          </w:tcPr>
          <w:p w14:paraId="7C2585A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Shenhav et al., “Mental Effort Mechanisms” (2017)</w:t>
            </w:r>
          </w:p>
        </w:tc>
        <w:tc>
          <w:tcPr>
            <w:tcW w:w="0" w:type="auto"/>
            <w:hideMark/>
          </w:tcPr>
          <w:p w14:paraId="4684716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61FEE59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AB9B62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18DE52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0835E0F8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CCFD9D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hideMark/>
          </w:tcPr>
          <w:p w14:paraId="242A34D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Jueptner et al., “Anatomy of Motor Learning” (1997)</w:t>
            </w:r>
          </w:p>
        </w:tc>
        <w:tc>
          <w:tcPr>
            <w:tcW w:w="0" w:type="auto"/>
            <w:hideMark/>
          </w:tcPr>
          <w:p w14:paraId="02392C6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6668B27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993A40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0076EE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537D1CF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045028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14:paraId="3E83BBA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Lepage et al., “Prefrontal Cortex &amp; Memory” (2000)</w:t>
            </w:r>
          </w:p>
        </w:tc>
        <w:tc>
          <w:tcPr>
            <w:tcW w:w="0" w:type="auto"/>
            <w:hideMark/>
          </w:tcPr>
          <w:p w14:paraId="5EC2436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5DA031B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5A0F46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ACCFDF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0B9B6BCA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78CD6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14:paraId="0A6C2AF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Calvert, “Crossmodal Brain Processing” (2001)</w:t>
            </w:r>
          </w:p>
        </w:tc>
        <w:tc>
          <w:tcPr>
            <w:tcW w:w="0" w:type="auto"/>
            <w:hideMark/>
          </w:tcPr>
          <w:p w14:paraId="72B994C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review</w:t>
            </w:r>
          </w:p>
        </w:tc>
        <w:tc>
          <w:tcPr>
            <w:tcW w:w="0" w:type="auto"/>
            <w:hideMark/>
          </w:tcPr>
          <w:p w14:paraId="548CAB7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39A0DA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80AA65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007A7E9D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82C93F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hideMark/>
          </w:tcPr>
          <w:p w14:paraId="086F5DD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Cools, “Dopamine and Cognitive Control” (2016)</w:t>
            </w:r>
          </w:p>
        </w:tc>
        <w:tc>
          <w:tcPr>
            <w:tcW w:w="0" w:type="auto"/>
            <w:hideMark/>
          </w:tcPr>
          <w:p w14:paraId="336ECBE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3C923B5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0FC005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EA664E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2E330E7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580E98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hideMark/>
          </w:tcPr>
          <w:p w14:paraId="2B34DAF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Lisman, “Memory Storage Mechanism” (1985)</w:t>
            </w:r>
          </w:p>
        </w:tc>
        <w:tc>
          <w:tcPr>
            <w:tcW w:w="0" w:type="auto"/>
            <w:hideMark/>
          </w:tcPr>
          <w:p w14:paraId="25C079B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640A285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4BB4B2D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04003E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4157EFE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D7E24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hideMark/>
          </w:tcPr>
          <w:p w14:paraId="1510F89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Bocharova et al., “Enzymatic Associative Memory” (2012)</w:t>
            </w:r>
          </w:p>
        </w:tc>
        <w:tc>
          <w:tcPr>
            <w:tcW w:w="0" w:type="auto"/>
            <w:hideMark/>
          </w:tcPr>
          <w:p w14:paraId="471D8C2D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53977396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43A282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622E76F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218076C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B59EE1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hideMark/>
          </w:tcPr>
          <w:p w14:paraId="4D9CF7F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Matthies, “Biochemical Basis of Learning and Memory” (1974)</w:t>
            </w:r>
          </w:p>
        </w:tc>
        <w:tc>
          <w:tcPr>
            <w:tcW w:w="0" w:type="auto"/>
            <w:hideMark/>
          </w:tcPr>
          <w:p w14:paraId="19E119C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6BA7458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B23428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2BB2F7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7354076E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E1A05D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hideMark/>
          </w:tcPr>
          <w:p w14:paraId="20D1D95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Song et al., “Peptide Materials for Memory” (2020)</w:t>
            </w:r>
          </w:p>
        </w:tc>
        <w:tc>
          <w:tcPr>
            <w:tcW w:w="0" w:type="auto"/>
            <w:hideMark/>
          </w:tcPr>
          <w:p w14:paraId="2D8CACDD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08D0593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BFBCFB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65CDB4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8FC5220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ADF75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hideMark/>
          </w:tcPr>
          <w:p w14:paraId="21F7233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Selcher et al., “MAP Kinase in Spatial Learning” (1999)</w:t>
            </w:r>
          </w:p>
        </w:tc>
        <w:tc>
          <w:tcPr>
            <w:tcW w:w="0" w:type="auto"/>
            <w:hideMark/>
          </w:tcPr>
          <w:p w14:paraId="210EE7FF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53E6F48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E3EF50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04A99D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FDDE861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E775FC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hideMark/>
          </w:tcPr>
          <w:p w14:paraId="44A60EA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Kandel &amp; Schwartz, “Transmitter Modulation” (1982)</w:t>
            </w:r>
          </w:p>
        </w:tc>
        <w:tc>
          <w:tcPr>
            <w:tcW w:w="0" w:type="auto"/>
            <w:hideMark/>
          </w:tcPr>
          <w:p w14:paraId="318CE8C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05CBA29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02860F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81C470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6ACEC600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28AF5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hideMark/>
          </w:tcPr>
          <w:p w14:paraId="26DBC89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McGaugh, “Memory—Century of Consolidation” (2000)</w:t>
            </w:r>
          </w:p>
        </w:tc>
        <w:tc>
          <w:tcPr>
            <w:tcW w:w="0" w:type="auto"/>
            <w:hideMark/>
          </w:tcPr>
          <w:p w14:paraId="58AA375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151A0E8D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3ACFA1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E01EC3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B413672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8EE2AB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hideMark/>
          </w:tcPr>
          <w:p w14:paraId="199A668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Dudai, “Neurobiology of Consolidations” (2004)</w:t>
            </w:r>
          </w:p>
        </w:tc>
        <w:tc>
          <w:tcPr>
            <w:tcW w:w="0" w:type="auto"/>
            <w:hideMark/>
          </w:tcPr>
          <w:p w14:paraId="535D2469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374AAD4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6E6748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21142ED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810839E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D27DAB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14:paraId="592BE32F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Dudai et al., “Memory Transformation” (2015)</w:t>
            </w:r>
          </w:p>
        </w:tc>
        <w:tc>
          <w:tcPr>
            <w:tcW w:w="0" w:type="auto"/>
            <w:hideMark/>
          </w:tcPr>
          <w:p w14:paraId="03B768A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2E369BB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FFFCB0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31C19A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BA86B32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961279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0" w:type="auto"/>
            <w:hideMark/>
          </w:tcPr>
          <w:p w14:paraId="544F902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Ricker &amp; Hardman, “Visual Working Memory” (2017)</w:t>
            </w:r>
          </w:p>
        </w:tc>
        <w:tc>
          <w:tcPr>
            <w:tcW w:w="0" w:type="auto"/>
            <w:hideMark/>
          </w:tcPr>
          <w:p w14:paraId="0B59630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7F382AD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8CFDE75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9960772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6AD7E32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251B48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hideMark/>
          </w:tcPr>
          <w:p w14:paraId="559462E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Squire et al., “Memory Consolidation” (2015)</w:t>
            </w:r>
          </w:p>
        </w:tc>
        <w:tc>
          <w:tcPr>
            <w:tcW w:w="0" w:type="auto"/>
            <w:hideMark/>
          </w:tcPr>
          <w:p w14:paraId="38A26E1D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4A672B99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30056F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F15E98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7946FDD4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CF1204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hideMark/>
          </w:tcPr>
          <w:p w14:paraId="7AF2F2B9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Shimizu et al., “NMDA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dependent Synaptic Reinforcement” (2000)</w:t>
            </w:r>
          </w:p>
        </w:tc>
        <w:tc>
          <w:tcPr>
            <w:tcW w:w="0" w:type="auto"/>
            <w:hideMark/>
          </w:tcPr>
          <w:p w14:paraId="5556AA2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78CA794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A9A7959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32E10C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1B1C908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84B629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hideMark/>
          </w:tcPr>
          <w:p w14:paraId="054D1E63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Kumar &amp; Singh, “Pedagogy of Human Anatomy” (2019)</w:t>
            </w:r>
          </w:p>
        </w:tc>
        <w:tc>
          <w:tcPr>
            <w:tcW w:w="0" w:type="auto"/>
            <w:hideMark/>
          </w:tcPr>
          <w:p w14:paraId="7A93671F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Review/Empirical</w:t>
            </w:r>
          </w:p>
        </w:tc>
        <w:tc>
          <w:tcPr>
            <w:tcW w:w="0" w:type="auto"/>
            <w:hideMark/>
          </w:tcPr>
          <w:p w14:paraId="03E8021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6A48FCE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22DCA2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7D9CFAD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7A29F3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14:paraId="65A81449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Estai &amp; Bunt, “Best Teaching Practices in Anatomy” (2016)</w:t>
            </w:r>
          </w:p>
        </w:tc>
        <w:tc>
          <w:tcPr>
            <w:tcW w:w="0" w:type="auto"/>
            <w:hideMark/>
          </w:tcPr>
          <w:p w14:paraId="7C1F1985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Critical review</w:t>
            </w:r>
          </w:p>
        </w:tc>
        <w:tc>
          <w:tcPr>
            <w:tcW w:w="0" w:type="auto"/>
            <w:hideMark/>
          </w:tcPr>
          <w:p w14:paraId="5022FDD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97060E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741F17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2A3FA7E3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011170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hideMark/>
          </w:tcPr>
          <w:p w14:paraId="7606DD9C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Boscolo</w:t>
            </w:r>
            <w:r w:rsidRPr="00924F4A">
              <w:rPr>
                <w:rFonts w:ascii="Times New Roman" w:hAnsi="Times New Roman" w:cs="Times New Roman"/>
                <w:sz w:val="20"/>
                <w:szCs w:val="20"/>
              </w:rPr>
              <w:noBreakHyphen/>
              <w:t>Berto et al., “Virtual vs Traditional Dissection” (2020)</w:t>
            </w:r>
          </w:p>
        </w:tc>
        <w:tc>
          <w:tcPr>
            <w:tcW w:w="0" w:type="auto"/>
            <w:hideMark/>
          </w:tcPr>
          <w:p w14:paraId="0070A76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RCT</w:t>
            </w:r>
          </w:p>
        </w:tc>
        <w:tc>
          <w:tcPr>
            <w:tcW w:w="0" w:type="auto"/>
            <w:hideMark/>
          </w:tcPr>
          <w:p w14:paraId="7CD2EC7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2C6671A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06E159A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3D3D1414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187B5D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hideMark/>
          </w:tcPr>
          <w:p w14:paraId="31419F1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Lazarus et al., “Perceptions of Anatomy” (2012)</w:t>
            </w:r>
          </w:p>
        </w:tc>
        <w:tc>
          <w:tcPr>
            <w:tcW w:w="0" w:type="auto"/>
            <w:hideMark/>
          </w:tcPr>
          <w:p w14:paraId="3D800174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72C4946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A7E4EBE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A9FBDB1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61557F80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3828DE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hideMark/>
          </w:tcPr>
          <w:p w14:paraId="6484B22D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Sugand et al., “Anatomy of Anatomy” (2010)</w:t>
            </w:r>
          </w:p>
        </w:tc>
        <w:tc>
          <w:tcPr>
            <w:tcW w:w="0" w:type="auto"/>
            <w:hideMark/>
          </w:tcPr>
          <w:p w14:paraId="51B446F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Critical review</w:t>
            </w:r>
          </w:p>
        </w:tc>
        <w:tc>
          <w:tcPr>
            <w:tcW w:w="0" w:type="auto"/>
            <w:hideMark/>
          </w:tcPr>
          <w:p w14:paraId="0C13F4D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4A46D9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30C1383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8134898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093575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hideMark/>
          </w:tcPr>
          <w:p w14:paraId="045488D3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Study Modules in Anatomy Education (Ogut et al., 2025)</w:t>
            </w:r>
          </w:p>
        </w:tc>
        <w:tc>
          <w:tcPr>
            <w:tcW w:w="0" w:type="auto"/>
            <w:hideMark/>
          </w:tcPr>
          <w:p w14:paraId="3A11A66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522A57A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3D72448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63BC40E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428AD2AE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D4C52A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14:paraId="4B9C9CD8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Interactive 3D Digital Models (Erolin, 2019)</w:t>
            </w:r>
          </w:p>
        </w:tc>
        <w:tc>
          <w:tcPr>
            <w:tcW w:w="0" w:type="auto"/>
            <w:hideMark/>
          </w:tcPr>
          <w:p w14:paraId="5239FA5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1545965A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9A5BDC2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66D84C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D2F0CEF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12CA2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hideMark/>
          </w:tcPr>
          <w:p w14:paraId="27DA315F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Visible Body Atlas (Schwartzman &amp; Ramamurti, 2021)</w:t>
            </w:r>
          </w:p>
        </w:tc>
        <w:tc>
          <w:tcPr>
            <w:tcW w:w="0" w:type="auto"/>
            <w:hideMark/>
          </w:tcPr>
          <w:p w14:paraId="78A4E047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review</w:t>
            </w:r>
          </w:p>
        </w:tc>
        <w:tc>
          <w:tcPr>
            <w:tcW w:w="0" w:type="auto"/>
            <w:hideMark/>
          </w:tcPr>
          <w:p w14:paraId="683CEAA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4038B1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6FC03E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1990FB11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10205C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hideMark/>
          </w:tcPr>
          <w:p w14:paraId="12B66D13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Anatomy in Modern Curriculum (Turney, 2007)</w:t>
            </w:r>
          </w:p>
        </w:tc>
        <w:tc>
          <w:tcPr>
            <w:tcW w:w="0" w:type="auto"/>
            <w:hideMark/>
          </w:tcPr>
          <w:p w14:paraId="7B832AEB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72128256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B1F1EF1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03F2ED9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76BA44A5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FC8CC5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hideMark/>
          </w:tcPr>
          <w:p w14:paraId="18B15A5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Anatomical Variation in Education (Nzenwa et al., 2023)</w:t>
            </w:r>
          </w:p>
        </w:tc>
        <w:tc>
          <w:tcPr>
            <w:tcW w:w="0" w:type="auto"/>
            <w:hideMark/>
          </w:tcPr>
          <w:p w14:paraId="66E4010A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5408CE6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70E2085F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2A681A00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5A0B6C3C" w14:textId="77777777" w:rsidTr="00924F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E85531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hideMark/>
          </w:tcPr>
          <w:p w14:paraId="06191E5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3D Modeling Techniques (Pujol et al., 2016)</w:t>
            </w:r>
          </w:p>
        </w:tc>
        <w:tc>
          <w:tcPr>
            <w:tcW w:w="0" w:type="auto"/>
            <w:hideMark/>
          </w:tcPr>
          <w:p w14:paraId="0CAD5B14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</w:p>
        </w:tc>
        <w:tc>
          <w:tcPr>
            <w:tcW w:w="0" w:type="auto"/>
            <w:hideMark/>
          </w:tcPr>
          <w:p w14:paraId="718BCA95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1AE79870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1CFC027" w14:textId="77777777" w:rsidR="00924F4A" w:rsidRPr="00924F4A" w:rsidRDefault="00924F4A" w:rsidP="00924F4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924F4A" w:rsidRPr="00924F4A" w14:paraId="78DC50BD" w14:textId="77777777" w:rsidTr="00924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44325C" w14:textId="77777777" w:rsidR="00924F4A" w:rsidRPr="00924F4A" w:rsidRDefault="00924F4A" w:rsidP="00924F4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hideMark/>
          </w:tcPr>
          <w:p w14:paraId="6A4CB0D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3D Anatomy Models &amp; Spatial Ability (Labranche et al., 2022)</w:t>
            </w:r>
          </w:p>
        </w:tc>
        <w:tc>
          <w:tcPr>
            <w:tcW w:w="0" w:type="auto"/>
            <w:hideMark/>
          </w:tcPr>
          <w:p w14:paraId="1B29E608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Empirical study</w:t>
            </w:r>
          </w:p>
        </w:tc>
        <w:tc>
          <w:tcPr>
            <w:tcW w:w="0" w:type="auto"/>
            <w:hideMark/>
          </w:tcPr>
          <w:p w14:paraId="316A7FEC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DBA515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4FCFFAFB" w14:textId="77777777" w:rsidR="00924F4A" w:rsidRPr="00924F4A" w:rsidRDefault="00924F4A" w:rsidP="00924F4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4F4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0B3D19E4" w14:textId="77777777" w:rsidR="000E015F" w:rsidRPr="00924F4A" w:rsidRDefault="000E015F">
      <w:pPr>
        <w:rPr>
          <w:rFonts w:ascii="Times New Roman" w:hAnsi="Times New Roman" w:cs="Times New Roman"/>
          <w:sz w:val="20"/>
          <w:szCs w:val="20"/>
        </w:rPr>
      </w:pPr>
    </w:p>
    <w:sectPr w:rsidR="000E015F" w:rsidRPr="00924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0D"/>
    <w:rsid w:val="000E015F"/>
    <w:rsid w:val="0014640D"/>
    <w:rsid w:val="00215981"/>
    <w:rsid w:val="003B5697"/>
    <w:rsid w:val="00426940"/>
    <w:rsid w:val="004C24F0"/>
    <w:rsid w:val="0063719F"/>
    <w:rsid w:val="007B668A"/>
    <w:rsid w:val="0092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02EA3"/>
  <w15:chartTrackingRefBased/>
  <w15:docId w15:val="{FCAA98C6-C588-45E5-AAC0-9385218F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4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4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4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4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40D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2159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FB5EA0-CA20-440C-9977-03F6A2A0EE24}">
  <we:reference id="wa200001361" version="2.129.3.0" store="en-US" storeType="OMEX"/>
  <we:alternateReferences>
    <we:reference id="wa200001361" version="2.129.3.0" store="wa200001361" storeType="OMEX"/>
  </we:alternateReferences>
  <we:properties>
    <we:property name="paperpal-document-id" value="&quot;45c53bfe-abe6-4d2e-942c-8f737c1836a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 Ogut</dc:creator>
  <cp:keywords/>
  <dc:description/>
  <cp:lastModifiedBy>Eren Ogut</cp:lastModifiedBy>
  <cp:revision>5</cp:revision>
  <dcterms:created xsi:type="dcterms:W3CDTF">2025-06-08T07:00:00Z</dcterms:created>
  <dcterms:modified xsi:type="dcterms:W3CDTF">2025-06-08T17:17:00Z</dcterms:modified>
</cp:coreProperties>
</file>