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E43A4">
      <w:pPr>
        <w:rPr>
          <w:rFonts w:hint="eastAsia" w:ascii="Times New Roman" w:hAnsi="Times New Roman"/>
          <w:b/>
          <w:sz w:val="22"/>
          <w:highlight w:val="none"/>
        </w:rPr>
      </w:pPr>
      <w:r>
        <w:rPr>
          <w:rFonts w:ascii="Times New Roman" w:hAnsi="Times New Roman"/>
          <w:b/>
          <w:sz w:val="22"/>
          <w:highlight w:val="none"/>
        </w:rPr>
        <w:t xml:space="preserve">Supplementary Appendix </w:t>
      </w:r>
      <w:r>
        <w:rPr>
          <w:rFonts w:hint="eastAsia" w:ascii="Times New Roman" w:hAnsi="Times New Roman"/>
          <w:b/>
          <w:sz w:val="22"/>
          <w:highlight w:val="none"/>
        </w:rPr>
        <w:t>4</w:t>
      </w:r>
      <w:r>
        <w:rPr>
          <w:rFonts w:ascii="Times New Roman" w:hAnsi="Times New Roman"/>
          <w:b/>
          <w:sz w:val="22"/>
          <w:highlight w:val="none"/>
        </w:rPr>
        <w:t>.</w:t>
      </w:r>
      <w:r>
        <w:rPr>
          <w:rFonts w:hint="eastAsia" w:ascii="Times New Roman" w:hAnsi="Times New Roman"/>
          <w:b/>
          <w:sz w:val="22"/>
          <w:highlight w:val="none"/>
        </w:rPr>
        <w:t xml:space="preserve"> </w:t>
      </w:r>
      <w:r>
        <w:rPr>
          <w:rFonts w:ascii="Times New Roman" w:hAnsi="Times New Roman"/>
          <w:b/>
          <w:sz w:val="22"/>
          <w:highlight w:val="none"/>
        </w:rPr>
        <w:t>Sensitivity analysis</w:t>
      </w:r>
      <w:r>
        <w:rPr>
          <w:rFonts w:hint="eastAsia" w:ascii="Times New Roman" w:hAnsi="Times New Roman"/>
          <w:b/>
          <w:sz w:val="22"/>
          <w:highlight w:val="none"/>
        </w:rPr>
        <w:t>.</w:t>
      </w:r>
    </w:p>
    <w:p w14:paraId="6CD41BA0">
      <w:pPr>
        <w:rPr>
          <w:highlight w:val="none"/>
        </w:rPr>
      </w:pPr>
    </w:p>
    <w:p w14:paraId="6C42DDFF">
      <w:pPr>
        <w:rPr>
          <w:rFonts w:hint="eastAsia" w:ascii="Times New Roman" w:hAnsi="Times New Roman" w:cs="Times New Roman"/>
          <w:szCs w:val="21"/>
          <w:highlight w:val="none"/>
        </w:rPr>
      </w:pPr>
      <w:r>
        <w:rPr>
          <w:rFonts w:ascii="Times New Roman" w:hAnsi="Times New Roman" w:cs="Times New Roman"/>
          <w:szCs w:val="21"/>
          <w:highlight w:val="none"/>
        </w:rPr>
        <w:t>Table S</w:t>
      </w:r>
      <w:r>
        <w:rPr>
          <w:rFonts w:hint="eastAsia" w:ascii="Times New Roman" w:hAnsi="Times New Roman" w:cs="Times New Roman"/>
          <w:szCs w:val="21"/>
          <w:highlight w:val="none"/>
          <w:lang w:val="en-US" w:eastAsia="zh-CN"/>
        </w:rPr>
        <w:t>9</w:t>
      </w:r>
      <w:r>
        <w:rPr>
          <w:rFonts w:hint="eastAsia" w:ascii="Times New Roman" w:hAnsi="Times New Roman" w:cs="Times New Roman"/>
          <w:szCs w:val="21"/>
          <w:highlight w:val="none"/>
        </w:rPr>
        <w:t xml:space="preserve">. </w:t>
      </w:r>
      <w:r>
        <w:rPr>
          <w:rFonts w:ascii="Times New Roman" w:hAnsi="Times New Roman" w:cs="Times New Roman"/>
          <w:szCs w:val="21"/>
          <w:highlight w:val="none"/>
        </w:rPr>
        <w:t>Sensitivity analysis for meta-analysis of SEGUE scores</w:t>
      </w:r>
      <w:r>
        <w:rPr>
          <w:rFonts w:hint="eastAsia" w:ascii="Times New Roman" w:hAnsi="Times New Roman" w:cs="Times New Roman"/>
          <w:szCs w:val="21"/>
          <w:highlight w:val="none"/>
        </w:rPr>
        <w:t>.</w:t>
      </w:r>
    </w:p>
    <w:tbl>
      <w:tblPr>
        <w:tblStyle w:val="16"/>
        <w:tblW w:w="541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247"/>
        <w:gridCol w:w="1247"/>
        <w:gridCol w:w="1247"/>
      </w:tblGrid>
      <w:tr w14:paraId="4FEB9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70E7BA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Study omitted</w:t>
            </w:r>
          </w:p>
        </w:tc>
        <w:tc>
          <w:tcPr>
            <w:tcW w:w="124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1AA3AD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MD</w:t>
            </w:r>
          </w:p>
        </w:tc>
        <w:tc>
          <w:tcPr>
            <w:tcW w:w="124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AA0120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lower CI</w:t>
            </w:r>
          </w:p>
        </w:tc>
        <w:tc>
          <w:tcPr>
            <w:tcW w:w="124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9E0CB7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higher CI</w:t>
            </w:r>
          </w:p>
        </w:tc>
      </w:tr>
      <w:tr w14:paraId="5B887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A1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Fan 2022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EF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67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5C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1.58</w:t>
            </w:r>
          </w:p>
        </w:tc>
      </w:tr>
      <w:tr w14:paraId="6D74B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F7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Guo 2019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AA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4D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77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1.55</w:t>
            </w:r>
          </w:p>
        </w:tc>
      </w:tr>
      <w:tr w14:paraId="5B150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74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Jin 2022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60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1.40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FF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1.05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18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1.75</w:t>
            </w:r>
          </w:p>
        </w:tc>
      </w:tr>
      <w:tr w14:paraId="2F287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2B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Lv 2022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85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E8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0.87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AA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1.54 </w:t>
            </w:r>
          </w:p>
        </w:tc>
      </w:tr>
      <w:tr w14:paraId="6BCE0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DFF0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Xue 2018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CE44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1.21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C7D8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0.87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786D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1.55</w:t>
            </w:r>
          </w:p>
        </w:tc>
      </w:tr>
    </w:tbl>
    <w:p w14:paraId="1022C896">
      <w:pPr>
        <w:rPr>
          <w:rFonts w:ascii="Times New Roman" w:hAnsi="Times New Roman" w:cs="Times New Roman"/>
          <w:szCs w:val="21"/>
          <w:highlight w:val="none"/>
        </w:rPr>
      </w:pPr>
      <w:r>
        <w:rPr>
          <w:rFonts w:hint="eastAsia" w:ascii="Times New Roman" w:hAnsi="Times New Roman" w:cs="Times New Roman"/>
          <w:szCs w:val="21"/>
          <w:highlight w:val="none"/>
        </w:rPr>
        <w:t>The Balint groups in (Jin et al., 2024; Shao et al., 2023) were combined with other effective interventions, so these two studies were excluded from the sensitivity analysis.</w:t>
      </w:r>
    </w:p>
    <w:p w14:paraId="0D9A22CF">
      <w:pPr>
        <w:rPr>
          <w:highlight w:val="none"/>
        </w:rPr>
      </w:pPr>
    </w:p>
    <w:p w14:paraId="0D7A0239">
      <w:pPr>
        <w:rPr>
          <w:rFonts w:hint="eastAsia" w:ascii="Times New Roman" w:hAnsi="Times New Roman" w:cs="Times New Roman"/>
          <w:szCs w:val="21"/>
          <w:highlight w:val="none"/>
        </w:rPr>
      </w:pPr>
      <w:r>
        <w:rPr>
          <w:rFonts w:ascii="Times New Roman" w:hAnsi="Times New Roman" w:cs="Times New Roman"/>
          <w:szCs w:val="21"/>
          <w:highlight w:val="none"/>
        </w:rPr>
        <w:t>Table S</w:t>
      </w:r>
      <w:r>
        <w:rPr>
          <w:rFonts w:hint="eastAsia" w:ascii="Times New Roman" w:hAnsi="Times New Roman" w:cs="Times New Roman"/>
          <w:szCs w:val="21"/>
          <w:highlight w:val="none"/>
          <w:lang w:val="en-US" w:eastAsia="zh-CN"/>
        </w:rPr>
        <w:t>10</w:t>
      </w:r>
      <w:r>
        <w:rPr>
          <w:rFonts w:hint="eastAsia" w:ascii="Times New Roman" w:hAnsi="Times New Roman" w:cs="Times New Roman"/>
          <w:szCs w:val="21"/>
          <w:highlight w:val="none"/>
        </w:rPr>
        <w:t xml:space="preserve">. </w:t>
      </w:r>
      <w:r>
        <w:rPr>
          <w:rFonts w:ascii="Times New Roman" w:hAnsi="Times New Roman" w:cs="Times New Roman"/>
          <w:szCs w:val="21"/>
          <w:highlight w:val="none"/>
        </w:rPr>
        <w:t xml:space="preserve">Sensitivity analysis for meta-analysis of </w:t>
      </w:r>
      <w:r>
        <w:rPr>
          <w:rFonts w:hint="eastAsia" w:ascii="Times New Roman" w:hAnsi="Times New Roman" w:cs="Times New Roman"/>
          <w:szCs w:val="21"/>
          <w:highlight w:val="none"/>
        </w:rPr>
        <w:t>empathy</w:t>
      </w:r>
      <w:r>
        <w:rPr>
          <w:rFonts w:ascii="Times New Roman" w:hAnsi="Times New Roman" w:cs="Times New Roman"/>
          <w:szCs w:val="21"/>
          <w:highlight w:val="none"/>
        </w:rPr>
        <w:t xml:space="preserve"> scores</w:t>
      </w:r>
      <w:r>
        <w:rPr>
          <w:rFonts w:hint="eastAsia" w:ascii="Times New Roman" w:hAnsi="Times New Roman" w:cs="Times New Roman"/>
          <w:szCs w:val="21"/>
          <w:highlight w:val="none"/>
        </w:rPr>
        <w:t>.</w:t>
      </w:r>
    </w:p>
    <w:tbl>
      <w:tblPr>
        <w:tblStyle w:val="16"/>
        <w:tblW w:w="541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247"/>
        <w:gridCol w:w="1247"/>
        <w:gridCol w:w="1247"/>
      </w:tblGrid>
      <w:tr w14:paraId="6A6A4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67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3AD9E7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  <w:t>Study omitted</w:t>
            </w:r>
          </w:p>
        </w:tc>
        <w:tc>
          <w:tcPr>
            <w:tcW w:w="124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6A4C59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  <w:t>MD</w:t>
            </w:r>
          </w:p>
        </w:tc>
        <w:tc>
          <w:tcPr>
            <w:tcW w:w="124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A3C4E6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  <w:t>lower CI</w:t>
            </w:r>
          </w:p>
        </w:tc>
        <w:tc>
          <w:tcPr>
            <w:tcW w:w="124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699840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  <w:t>higher CI</w:t>
            </w:r>
          </w:p>
        </w:tc>
      </w:tr>
      <w:tr w14:paraId="1DE1C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825E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  <w:t>Buffel 2017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26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3.77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A5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1.79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3C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5.76 </w:t>
            </w:r>
          </w:p>
        </w:tc>
      </w:tr>
      <w:tr w14:paraId="63A9A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BDA0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  <w:t>Fan 2022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92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2.63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EC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1.40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4B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3.85</w:t>
            </w:r>
          </w:p>
        </w:tc>
      </w:tr>
      <w:tr w14:paraId="4B33C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2A25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  <w:t>Guo 2019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9F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2.44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CE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1.25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62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3.63</w:t>
            </w:r>
          </w:p>
        </w:tc>
      </w:tr>
      <w:tr w14:paraId="7041B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20C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  <w:t>Jin 2024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94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1.14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4C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78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1.77</w:t>
            </w:r>
          </w:p>
        </w:tc>
      </w:tr>
      <w:tr w14:paraId="0E790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A09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  <w:t>Lemogne 2020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8A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3.76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86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E8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5.72 </w:t>
            </w:r>
          </w:p>
        </w:tc>
      </w:tr>
      <w:tr w14:paraId="1EFB4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67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53DF6F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  <w:t>Xue 2018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537E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2.47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CBBD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1.27 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C8E6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3.67</w:t>
            </w:r>
          </w:p>
        </w:tc>
      </w:tr>
    </w:tbl>
    <w:p w14:paraId="0DBF60D8">
      <w:pPr>
        <w:rPr>
          <w:highlight w:val="none"/>
        </w:rPr>
      </w:pPr>
    </w:p>
    <w:p w14:paraId="05956C8D">
      <w:pPr>
        <w:rPr>
          <w:rFonts w:ascii="Times New Roman" w:hAnsi="Times New Roman" w:cs="Times New Roman"/>
          <w:szCs w:val="21"/>
          <w:highlight w:val="none"/>
        </w:rPr>
      </w:pPr>
      <w:r>
        <w:rPr>
          <w:rFonts w:ascii="Times New Roman" w:hAnsi="Times New Roman" w:cs="Times New Roman"/>
          <w:szCs w:val="21"/>
          <w:highlight w:val="none"/>
        </w:rPr>
        <w:t xml:space="preserve">Table </w:t>
      </w:r>
      <w:r>
        <w:rPr>
          <w:rFonts w:hint="eastAsia" w:ascii="Times New Roman" w:hAnsi="Times New Roman" w:cs="Times New Roman"/>
          <w:szCs w:val="21"/>
          <w:highlight w:val="none"/>
          <w:lang w:val="en-US" w:eastAsia="zh-CN"/>
        </w:rPr>
        <w:t>S11</w:t>
      </w:r>
      <w:r>
        <w:rPr>
          <w:rFonts w:hint="eastAsia" w:ascii="Times New Roman" w:hAnsi="Times New Roman" w:cs="Times New Roman"/>
          <w:szCs w:val="21"/>
          <w:highlight w:val="none"/>
        </w:rPr>
        <w:t xml:space="preserve">. </w:t>
      </w:r>
      <w:r>
        <w:rPr>
          <w:rFonts w:ascii="Times New Roman" w:hAnsi="Times New Roman" w:cs="Times New Roman"/>
          <w:szCs w:val="21"/>
          <w:highlight w:val="none"/>
        </w:rPr>
        <w:t xml:space="preserve">Sensitivity analysis for meta-analysis of </w:t>
      </w:r>
      <w:r>
        <w:rPr>
          <w:rFonts w:hint="eastAsia" w:ascii="Times New Roman" w:hAnsi="Times New Roman" w:cs="Times New Roman"/>
          <w:szCs w:val="21"/>
          <w:highlight w:val="none"/>
        </w:rPr>
        <w:t>SAS score.</w:t>
      </w:r>
    </w:p>
    <w:tbl>
      <w:tblPr>
        <w:tblStyle w:val="16"/>
        <w:tblW w:w="541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247"/>
        <w:gridCol w:w="1247"/>
        <w:gridCol w:w="1247"/>
      </w:tblGrid>
      <w:tr w14:paraId="7B24D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67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58F8A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  <w:t>Study omitted</w:t>
            </w:r>
          </w:p>
        </w:tc>
        <w:tc>
          <w:tcPr>
            <w:tcW w:w="124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EB83C2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  <w:t>MD</w:t>
            </w:r>
          </w:p>
        </w:tc>
        <w:tc>
          <w:tcPr>
            <w:tcW w:w="124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CE787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  <w:t>lower CI</w:t>
            </w:r>
          </w:p>
        </w:tc>
        <w:tc>
          <w:tcPr>
            <w:tcW w:w="124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93D2E4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  <w:t>higher CI</w:t>
            </w:r>
          </w:p>
        </w:tc>
      </w:tr>
      <w:tr w14:paraId="058E1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B95E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  <w:t>Tan 2021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3A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-0.54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65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-0.83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DA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-0.24 </w:t>
            </w:r>
          </w:p>
        </w:tc>
      </w:tr>
      <w:tr w14:paraId="6F960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176A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  <w:t>Wang 2021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27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-1.04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C0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-2.47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D5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0.39</w:t>
            </w:r>
          </w:p>
        </w:tc>
      </w:tr>
      <w:tr w14:paraId="6CA0B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67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A7790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  <w:t>Zhang 2019a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7EBF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-1.14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1DCA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-2.32 </w:t>
            </w:r>
          </w:p>
        </w:tc>
        <w:tc>
          <w:tcPr>
            <w:tcW w:w="124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A43F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0.04</w:t>
            </w:r>
          </w:p>
        </w:tc>
      </w:tr>
    </w:tbl>
    <w:p w14:paraId="50CB04CC">
      <w:pPr>
        <w:rPr>
          <w:highlight w:val="none"/>
        </w:rPr>
      </w:pPr>
    </w:p>
    <w:p w14:paraId="58ECE87E">
      <w:pPr>
        <w:rPr>
          <w:rFonts w:ascii="Times New Roman" w:hAnsi="Times New Roman" w:cs="Times New Roman"/>
          <w:szCs w:val="21"/>
          <w:highlight w:val="none"/>
        </w:rPr>
      </w:pPr>
      <w:r>
        <w:rPr>
          <w:rFonts w:ascii="Times New Roman" w:hAnsi="Times New Roman" w:cs="Times New Roman"/>
          <w:szCs w:val="21"/>
          <w:highlight w:val="none"/>
        </w:rPr>
        <w:t>Table S</w:t>
      </w:r>
      <w:r>
        <w:rPr>
          <w:rFonts w:hint="eastAsia" w:ascii="Times New Roman" w:hAnsi="Times New Roman" w:cs="Times New Roman"/>
          <w:szCs w:val="21"/>
          <w:highlight w:val="none"/>
          <w:lang w:val="en-US" w:eastAsia="zh-CN"/>
        </w:rPr>
        <w:t>12</w:t>
      </w:r>
      <w:r>
        <w:rPr>
          <w:rFonts w:hint="eastAsia" w:ascii="Times New Roman" w:hAnsi="Times New Roman" w:cs="Times New Roman"/>
          <w:szCs w:val="21"/>
          <w:highlight w:val="none"/>
        </w:rPr>
        <w:t xml:space="preserve">. </w:t>
      </w:r>
      <w:r>
        <w:rPr>
          <w:rFonts w:ascii="Times New Roman" w:hAnsi="Times New Roman" w:cs="Times New Roman"/>
          <w:szCs w:val="21"/>
          <w:highlight w:val="none"/>
        </w:rPr>
        <w:t xml:space="preserve">Sensitivity analysis for meta-analysis of </w:t>
      </w:r>
      <w:r>
        <w:rPr>
          <w:rFonts w:hint="eastAsia" w:ascii="Times New Roman" w:hAnsi="Times New Roman" w:cs="Times New Roman"/>
          <w:szCs w:val="21"/>
          <w:highlight w:val="none"/>
        </w:rPr>
        <w:t>MBI-GS score.</w:t>
      </w:r>
    </w:p>
    <w:tbl>
      <w:tblPr>
        <w:tblStyle w:val="16"/>
        <w:tblW w:w="793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2149"/>
        <w:gridCol w:w="1924"/>
        <w:gridCol w:w="2195"/>
      </w:tblGrid>
      <w:tr w14:paraId="6126B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670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42AFED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  <w:t>Study omitted</w:t>
            </w:r>
          </w:p>
        </w:tc>
        <w:tc>
          <w:tcPr>
            <w:tcW w:w="6268" w:type="dxa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07EF26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  <w:t>MD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  <w:t xml:space="preserve"> (95% CI)</w:t>
            </w:r>
          </w:p>
        </w:tc>
      </w:tr>
      <w:tr w14:paraId="019C2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0" w:type="dxa"/>
            <w:vMerge w:val="continue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2699CA0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4E8809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  <w:t>emotional exhaustion</w:t>
            </w:r>
          </w:p>
        </w:tc>
        <w:tc>
          <w:tcPr>
            <w:tcW w:w="192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699884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  <w:t>cynicism</w:t>
            </w:r>
          </w:p>
        </w:tc>
        <w:tc>
          <w:tcPr>
            <w:tcW w:w="219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B0DF5D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  <w:t>reduced personal accomplishment</w:t>
            </w:r>
          </w:p>
        </w:tc>
      </w:tr>
      <w:tr w14:paraId="41837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DCB7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  <w:t>Li 2023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2F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-1.11 (-2.68, 0.46)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6B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-0.60 (-1.45, 0.25)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8C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-0.94 (-1.71, -0.18)</w:t>
            </w:r>
          </w:p>
        </w:tc>
      </w:tr>
      <w:tr w14:paraId="69F16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6D8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  <w:t>Qiao 2022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33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-2.83 (-5.53, -0.14)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4F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-1.82 (-4.02, 0.38)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79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-2.71 (-6.24, 0.82)</w:t>
            </w:r>
          </w:p>
        </w:tc>
      </w:tr>
      <w:tr w14:paraId="66914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67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C4B538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  <w:t>Xie 2021</w:t>
            </w:r>
          </w:p>
        </w:tc>
        <w:tc>
          <w:tcPr>
            <w:tcW w:w="214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0D05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-1.91 (-2.53, -1.29)</w:t>
            </w:r>
          </w:p>
        </w:tc>
        <w:tc>
          <w:tcPr>
            <w:tcW w:w="192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3535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-1.49 (4.62, 1.63)</w:t>
            </w:r>
          </w:p>
        </w:tc>
        <w:tc>
          <w:tcPr>
            <w:tcW w:w="219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EBF2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-2.40 (-6.75, 1.95)</w:t>
            </w:r>
          </w:p>
        </w:tc>
      </w:tr>
    </w:tbl>
    <w:p w14:paraId="2B67B7AB">
      <w:pPr>
        <w:rPr>
          <w:rFonts w:hint="eastAsia"/>
          <w:highlight w:val="none"/>
        </w:rPr>
      </w:pPr>
      <w:bookmarkStart w:id="0" w:name="_GoBack"/>
      <w:bookmarkEnd w:id="0"/>
    </w:p>
    <w:p w14:paraId="29A625DF">
      <w:pPr>
        <w:rPr>
          <w:rFonts w:hint="default" w:ascii="Times New Roman" w:hAnsi="Times New Roman" w:cs="Times New Roman" w:eastAsiaTheme="minorEastAsia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References:</w:t>
      </w:r>
    </w:p>
    <w:p w14:paraId="272192F0">
      <w:pPr>
        <w:rPr>
          <w:rFonts w:hint="eastAsia" w:ascii="Times New Roman" w:hAnsi="Times New Roman" w:cs="Times New Roman"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</w:rPr>
        <w:t xml:space="preserve">Jin, X., Lin, X., Xiao, J., 2024. </w:t>
      </w:r>
      <w:r>
        <w:rPr>
          <w:rFonts w:hint="eastAsia" w:ascii="Times New Roman" w:hAnsi="Times New Roman" w:cs="Times New Roman"/>
          <w:sz w:val="21"/>
          <w:szCs w:val="21"/>
          <w:highlight w:val="none"/>
        </w:rPr>
        <w:t>The application of Balint group in doctor-patient communication course. Journal of Wenzhou Medical University. 54, 771-5. https://doi.org/10.3969/j.issn.2095-9400.2024.09.014.</w:t>
      </w:r>
    </w:p>
    <w:p w14:paraId="44E4C19E">
      <w:pPr>
        <w:rPr>
          <w:rFonts w:hint="eastAsia" w:ascii="Times New Roman" w:hAnsi="Times New Roman" w:cs="Times New Roman"/>
          <w:sz w:val="21"/>
          <w:szCs w:val="21"/>
          <w:highlight w:val="none"/>
        </w:rPr>
      </w:pPr>
      <w:r>
        <w:rPr>
          <w:rFonts w:hint="eastAsia" w:ascii="Times New Roman" w:hAnsi="Times New Roman" w:cs="Times New Roman"/>
          <w:sz w:val="21"/>
          <w:szCs w:val="21"/>
          <w:highlight w:val="none"/>
        </w:rPr>
        <w:t>Shao, H., You, C., Li, Q., Wu, P., 2023. Research on the application of Miller's pyramid theory combined with Bahrain's team activities in standardized residency training of burn surgeons. Chinese Journal of Medical Education Research. 22, 1230-3. https://doi.org/10.3760/cma.j.cn116021⁃20211201⁃01392.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默认字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03C"/>
    <w:rsid w:val="002A0E65"/>
    <w:rsid w:val="0034203C"/>
    <w:rsid w:val="003B5EAF"/>
    <w:rsid w:val="00593FB7"/>
    <w:rsid w:val="005C78B4"/>
    <w:rsid w:val="00671A60"/>
    <w:rsid w:val="007E3ACB"/>
    <w:rsid w:val="007F1925"/>
    <w:rsid w:val="008F4291"/>
    <w:rsid w:val="00925503"/>
    <w:rsid w:val="00B35E11"/>
    <w:rsid w:val="00B62608"/>
    <w:rsid w:val="00B67F6E"/>
    <w:rsid w:val="00BD06ED"/>
    <w:rsid w:val="00CE08C6"/>
    <w:rsid w:val="00CF7DEF"/>
    <w:rsid w:val="00D728B4"/>
    <w:rsid w:val="00D80B21"/>
    <w:rsid w:val="01F81FF7"/>
    <w:rsid w:val="043F4D9A"/>
    <w:rsid w:val="058A6B95"/>
    <w:rsid w:val="07204550"/>
    <w:rsid w:val="0FC76DD4"/>
    <w:rsid w:val="1340228E"/>
    <w:rsid w:val="13662F80"/>
    <w:rsid w:val="1AE2545C"/>
    <w:rsid w:val="1E4F7829"/>
    <w:rsid w:val="21A4344B"/>
    <w:rsid w:val="26D63B41"/>
    <w:rsid w:val="4A856AB2"/>
    <w:rsid w:val="5FEA5396"/>
    <w:rsid w:val="60556AAD"/>
    <w:rsid w:val="684921C0"/>
    <w:rsid w:val="74143C2D"/>
    <w:rsid w:val="7DC1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Hyperlink"/>
    <w:basedOn w:val="17"/>
    <w:semiHidden/>
    <w:unhideWhenUsed/>
    <w:uiPriority w:val="99"/>
    <w:rPr>
      <w:color w:val="0000FF"/>
      <w:u w:val="single"/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204</Words>
  <Characters>1047</Characters>
  <Lines>31</Lines>
  <Paragraphs>21</Paragraphs>
  <TotalTime>0</TotalTime>
  <ScaleCrop>false</ScaleCrop>
  <LinksUpToDate>false</LinksUpToDate>
  <CharactersWithSpaces>1174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2025-03-14T06:35:00Z</dcterms:created>
  <dc:creator>陆欣怡 徐</dc:creator>
  <cp:lastModifiedBy>许正芬</cp:lastModifiedBy>
  <dcterms:modified xsi:type="dcterms:W3CDTF">2025-06-17T08:06:38Z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eyJoZGlkIjoiOTAzNzExN2MxNzk4NDRhYjZlNTllMjFjZjQxNjQzOGEiLCJ1c2VySWQiOiI0NDkwODMyMjYifQ==</vt:lpwstr>
  </property>
  <property fmtid="{D5CDD505-2E9C-101B-9397-08002B2CF9AE}" pid="3" name="KSOProductBuildVer">
    <vt:lpwstr>2052-12.1.0.20784</vt:lpwstr>
  </property>
  <property fmtid="{D5CDD505-2E9C-101B-9397-08002B2CF9AE}" pid="4" name="ICV">
    <vt:lpwstr>97366CA8B53E4B978564E16D5207D240_12</vt:lpwstr>
  </property>
</Properties>
</file>