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231"/>
        <w:gridCol w:w="811"/>
        <w:gridCol w:w="1406"/>
        <w:gridCol w:w="1281"/>
        <w:gridCol w:w="1227"/>
        <w:gridCol w:w="1394"/>
        <w:gridCol w:w="1103"/>
        <w:gridCol w:w="1103"/>
        <w:gridCol w:w="1103"/>
        <w:gridCol w:w="1394"/>
        <w:gridCol w:w="1103"/>
        <w:gridCol w:w="1394"/>
      </w:tblGrid>
      <w:tr w14:paraId="4CD86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  <w:tblHeader/>
        </w:trPr>
        <w:tc>
          <w:tcPr>
            <w:tcW w:w="0" w:type="auto"/>
            <w:gridSpan w:val="12"/>
            <w:shd w:val="clear"/>
            <w:vAlign w:val="top"/>
          </w:tcPr>
          <w:p w14:paraId="470EA17A">
            <w:pPr>
              <w:rPr>
                <w:rFonts w:hint="eastAsia"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Table S</w:t>
            </w:r>
            <w:r>
              <w:rPr>
                <w:rFonts w:hint="eastAsia" w:ascii="Times New Roman" w:hAnsi="Times New Roman" w:cs="Times New Roman"/>
                <w:sz w:val="24"/>
                <w:szCs w:val="28"/>
                <w:lang w:val="en-US" w:eastAsia="zh-CN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Grade assessment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 xml:space="preserve"> of meta-analyses</w:t>
            </w:r>
            <w:r>
              <w:rPr>
                <w:rFonts w:hint="eastAsia" w:ascii="Times New Roman" w:hAnsi="Times New Roman" w:cs="Times New Roman"/>
                <w:sz w:val="24"/>
                <w:szCs w:val="28"/>
                <w:lang w:val="en-US" w:eastAsia="zh-CN"/>
              </w:rPr>
              <w:t xml:space="preserve"> (Balint groups vs control)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.</w:t>
            </w:r>
          </w:p>
          <w:p w14:paraId="61E4E5AE">
            <w:pPr>
              <w:rPr>
                <w:rFonts w:hint="eastAsia" w:ascii="Times New Roman" w:hAnsi="Times New Roman" w:cs="Times New Roman"/>
                <w:sz w:val="24"/>
                <w:szCs w:val="28"/>
              </w:rPr>
            </w:pPr>
          </w:p>
          <w:p w14:paraId="5A6899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ascii="Verdana" w:hAnsi="Verdana" w:cs="Verdana"/>
                <w:b/>
                <w:bCs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Bibliography: Balint groups for improving doctor-patient communication skills in doctors/ medical students.</w:t>
            </w:r>
          </w:p>
        </w:tc>
      </w:tr>
      <w:tr w14:paraId="71CA6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  <w:tblHeader/>
        </w:trPr>
        <w:tc>
          <w:tcPr>
            <w:tcW w:w="400" w:type="pct"/>
            <w:gridSpan w:val="7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1A083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20"/>
                <w:szCs w:val="20"/>
                <w:bdr w:val="none" w:color="auto" w:sz="0" w:space="0"/>
              </w:rPr>
              <w:t>Certainty assessment</w:t>
            </w:r>
          </w:p>
        </w:tc>
        <w:tc>
          <w:tcPr>
            <w:tcW w:w="0" w:type="auto"/>
            <w:gridSpan w:val="5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B3BF4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20"/>
                <w:szCs w:val="20"/>
                <w:bdr w:val="none" w:color="auto" w:sz="0" w:space="0"/>
              </w:rPr>
              <w:t>Summary of findings</w:t>
            </w:r>
          </w:p>
        </w:tc>
      </w:tr>
      <w:tr w14:paraId="4DC2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C8D78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Participants</w:t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br w:type="textWrapping"/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(studies)</w:t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br w:type="textWrapping"/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Follow-up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6AAA97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Risk of bias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42F18C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Inconsistency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20FBA7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Indirectness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5A675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Imprecision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6510D8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Publication bias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8243F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Overall certainty of evidence</w:t>
            </w:r>
          </w:p>
        </w:tc>
        <w:tc>
          <w:tcPr>
            <w:tcW w:w="0" w:type="auto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58C61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Study event rates (%)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1A09F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Relative effect</w:t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br w:type="textWrapping"/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(95% CI)</w:t>
            </w:r>
          </w:p>
        </w:tc>
        <w:tc>
          <w:tcPr>
            <w:tcW w:w="0" w:type="auto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40662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Anticipated absolute effects</w:t>
            </w:r>
          </w:p>
        </w:tc>
      </w:tr>
      <w:tr w14:paraId="67D8E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1B824AA6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4183F5A1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960CDDF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72B8E45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BFEAFD3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E447DEC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1C037BFC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2E2D8F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With control</w:t>
            </w: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209BC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With Balint groups</w:t>
            </w: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6617B2BD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CB6CC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Risk with control</w:t>
            </w: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6BCC3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  <w:bdr w:val="none" w:color="auto" w:sz="0" w:space="0"/>
              </w:rPr>
              <w:t>Risk difference with Balint groups</w:t>
            </w:r>
          </w:p>
        </w:tc>
      </w:tr>
      <w:tr w14:paraId="431A6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0F6C5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SEGUE score (co-interventions)</w:t>
            </w:r>
          </w:p>
        </w:tc>
      </w:tr>
      <w:tr w14:paraId="2167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CA420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354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(7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A00C9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0E136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4B045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6D859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B43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publication bias strongly suspected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A74D7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⨁⨁◯◯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Low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a,b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4DC08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DB1A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4733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B8B39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4A041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2.31 SD higher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(1.29 higher to 3.33 higher)</w:t>
            </w:r>
          </w:p>
        </w:tc>
      </w:tr>
      <w:tr w14:paraId="1B536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2407A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SEGUE score (Balint-only)</w:t>
            </w:r>
          </w:p>
        </w:tc>
      </w:tr>
      <w:tr w14:paraId="7BA4A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4D082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220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(5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1F1FA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A6966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5F241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EA85E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F3BC1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none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13B81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⨁⨁⨁◯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Moderate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D9624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726735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3DA57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8EBB5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B43FE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1.26 SD higher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(0.97 higher to 1.56 higher)</w:t>
            </w:r>
          </w:p>
        </w:tc>
      </w:tr>
      <w:tr w14:paraId="3AF2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1A1AB2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Empathy score</w:t>
            </w:r>
          </w:p>
        </w:tc>
      </w:tr>
      <w:tr w14:paraId="5F73D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437B8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705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(6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8473D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2F29D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3A4DE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6D2A9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6686F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publication bias strongly suspected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9E833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⨁⨁◯◯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Low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b,c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E9D6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FE7BC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8148D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2FB40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5E2A4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2.4 SD higher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(1.31 higher to 3.49 higher)</w:t>
            </w:r>
          </w:p>
        </w:tc>
      </w:tr>
      <w:tr w14:paraId="65A57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3CBC43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SAS score</w:t>
            </w:r>
          </w:p>
        </w:tc>
      </w:tr>
      <w:tr w14:paraId="036B5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C77C1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204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(3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6098F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2953E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8418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62E3A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FFD19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none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EBCF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⨁⨁⨁◯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Moderate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6436AB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4E703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0A1D8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3DB2FD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284A0C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0.79 SD lower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bdr w:val="none" w:color="auto" w:sz="0" w:space="0"/>
                <w:lang w:val="en-US" w:eastAsia="zh-CN" w:bidi="ar"/>
              </w:rPr>
              <w:t>(1.39 lower to 0.19 lower)</w:t>
            </w:r>
          </w:p>
        </w:tc>
      </w:tr>
    </w:tbl>
    <w:p w14:paraId="4F0D7C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default" w:ascii="Verdana" w:hAnsi="Verdana" w:cs="Verdana"/>
          <w:b/>
          <w:bCs/>
          <w:i w:val="0"/>
          <w:iCs w:val="0"/>
          <w:color w:val="000000"/>
          <w:sz w:val="16"/>
          <w:szCs w:val="16"/>
          <w:bdr w:val="none" w:color="auto" w:sz="0" w:space="0"/>
        </w:rPr>
        <w:t>CI:</w:t>
      </w:r>
      <w:r>
        <w:rPr>
          <w:rFonts w:hint="default" w:ascii="Verdana" w:hAnsi="Verdana" w:cs="Verdana"/>
          <w:i w:val="0"/>
          <w:iCs w:val="0"/>
          <w:color w:val="000000"/>
          <w:sz w:val="16"/>
          <w:szCs w:val="16"/>
          <w:bdr w:val="none" w:color="auto" w:sz="0" w:space="0"/>
        </w:rPr>
        <w:t xml:space="preserve"> confidence interval; </w:t>
      </w:r>
      <w:r>
        <w:rPr>
          <w:rFonts w:hint="default" w:ascii="Verdana" w:hAnsi="Verdana" w:cs="Verdana"/>
          <w:b/>
          <w:bCs/>
          <w:i w:val="0"/>
          <w:iCs w:val="0"/>
          <w:color w:val="000000"/>
          <w:sz w:val="16"/>
          <w:szCs w:val="16"/>
          <w:bdr w:val="none" w:color="auto" w:sz="0" w:space="0"/>
        </w:rPr>
        <w:t>SMD:</w:t>
      </w:r>
      <w:r>
        <w:rPr>
          <w:rFonts w:hint="default" w:ascii="Verdana" w:hAnsi="Verdana" w:cs="Verdana"/>
          <w:i w:val="0"/>
          <w:iCs w:val="0"/>
          <w:color w:val="000000"/>
          <w:sz w:val="16"/>
          <w:szCs w:val="16"/>
          <w:bdr w:val="none" w:color="auto" w:sz="0" w:space="0"/>
        </w:rPr>
        <w:t xml:space="preserve"> standardised mean difference</w:t>
      </w:r>
    </w:p>
    <w:p w14:paraId="34A5F3AC">
      <w:pPr>
        <w:pStyle w:val="2"/>
        <w:keepNext w:val="0"/>
        <w:keepLines w:val="0"/>
        <w:widowControl/>
        <w:suppressLineNumbers w:val="0"/>
      </w:pPr>
      <w:r>
        <w:rPr>
          <w:i w:val="0"/>
          <w:iCs w:val="0"/>
          <w:color w:val="000000"/>
          <w:bdr w:val="none" w:color="auto" w:sz="0" w:space="0"/>
        </w:rPr>
        <w:t>Explanations</w:t>
      </w:r>
    </w:p>
    <w:p w14:paraId="01722D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Verdana" w:hAnsi="Verdana" w:cs="Verdana"/>
          <w:i w:val="0"/>
          <w:iCs w:val="0"/>
          <w:color w:val="000000"/>
          <w:sz w:val="16"/>
          <w:szCs w:val="16"/>
        </w:rPr>
      </w:pPr>
      <w:r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bdr w:val="none" w:color="auto" w:sz="0" w:space="0"/>
          <w:lang w:val="en-US" w:eastAsia="zh-CN" w:bidi="ar"/>
        </w:rPr>
        <w:t>a. The risk of bias of (Lv 2022) was high.</w:t>
      </w:r>
    </w:p>
    <w:p w14:paraId="58F503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Verdana" w:hAnsi="Verdana" w:cs="Verdana"/>
          <w:i w:val="0"/>
          <w:iCs w:val="0"/>
          <w:color w:val="000000"/>
          <w:sz w:val="16"/>
          <w:szCs w:val="16"/>
        </w:rPr>
      </w:pPr>
      <w:r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bdr w:val="none" w:color="auto" w:sz="0" w:space="0"/>
          <w:lang w:val="en-US" w:eastAsia="zh-CN" w:bidi="ar"/>
        </w:rPr>
        <w:t>b. The funnel plot showed publication bias in the results.</w:t>
      </w:r>
    </w:p>
    <w:p w14:paraId="3CBC60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bdr w:val="none" w:color="auto" w:sz="0" w:space="0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bdr w:val="none" w:color="auto" w:sz="0" w:space="0"/>
          <w:lang w:val="en-US" w:eastAsia="zh-CN" w:bidi="ar"/>
        </w:rPr>
        <w:t>c. The results were obtained by subjective evaluation.</w:t>
      </w:r>
    </w:p>
    <w:p w14:paraId="5F06BF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bdr w:val="none" w:color="auto" w:sz="0" w:space="0"/>
          <w:lang w:val="en-US" w:eastAsia="zh-CN" w:bidi="ar"/>
        </w:rPr>
        <w:sectPr>
          <w:pgSz w:w="15840" w:h="12240" w:orient="landscape"/>
          <w:pgMar w:top="720" w:right="720" w:bottom="720" w:left="720" w:header="720" w:footer="720" w:gutter="0"/>
          <w:cols w:space="720" w:num="1"/>
        </w:sectPr>
      </w:pPr>
    </w:p>
    <w:p w14:paraId="2F8C5DB5">
      <w:pPr>
        <w:rPr>
          <w:rFonts w:hint="eastAsia"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Table S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14</w:t>
      </w:r>
      <w:r>
        <w:rPr>
          <w:rFonts w:ascii="Times New Roman" w:hAnsi="Times New Roman" w:cs="Times New Roman"/>
          <w:sz w:val="24"/>
          <w:szCs w:val="28"/>
        </w:rPr>
        <w:t>. Grade assessment</w:t>
      </w:r>
      <w:r>
        <w:rPr>
          <w:rFonts w:hint="eastAsia" w:ascii="Times New Roman" w:hAnsi="Times New Roman" w:cs="Times New Roman"/>
          <w:sz w:val="24"/>
          <w:szCs w:val="28"/>
        </w:rPr>
        <w:t xml:space="preserve"> of meta-analyses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 xml:space="preserve"> (Post-Balint groups vs Pre-Balint groups)</w:t>
      </w:r>
      <w:r>
        <w:rPr>
          <w:rFonts w:hint="eastAsia" w:ascii="Times New Roman" w:hAnsi="Times New Roman" w:cs="Times New Roman"/>
          <w:sz w:val="24"/>
          <w:szCs w:val="28"/>
        </w:rPr>
        <w:t>.</w:t>
      </w:r>
    </w:p>
    <w:p w14:paraId="5C350B33">
      <w:pPr>
        <w:rPr>
          <w:rFonts w:hint="eastAsia" w:ascii="Times New Roman" w:hAnsi="Times New Roman" w:cs="Times New Roman"/>
          <w:sz w:val="24"/>
          <w:szCs w:val="28"/>
        </w:rPr>
      </w:pPr>
    </w:p>
    <w:tbl>
      <w:tblPr>
        <w:tblStyle w:val="4"/>
        <w:tblW w:w="5000" w:type="pct"/>
        <w:tblInd w:w="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231"/>
        <w:gridCol w:w="811"/>
        <w:gridCol w:w="1406"/>
        <w:gridCol w:w="1281"/>
        <w:gridCol w:w="1227"/>
        <w:gridCol w:w="1394"/>
        <w:gridCol w:w="1103"/>
        <w:gridCol w:w="1103"/>
        <w:gridCol w:w="1103"/>
        <w:gridCol w:w="1394"/>
        <w:gridCol w:w="1103"/>
        <w:gridCol w:w="1394"/>
      </w:tblGrid>
      <w:tr w14:paraId="73AD4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  <w:tblHeader/>
        </w:trPr>
        <w:tc>
          <w:tcPr>
            <w:tcW w:w="0" w:type="auto"/>
            <w:gridSpan w:val="12"/>
            <w:shd w:val="clear" w:color="auto" w:fill="auto"/>
            <w:vAlign w:val="top"/>
          </w:tcPr>
          <w:p w14:paraId="33DB1F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ascii="Verdana" w:hAnsi="Verdana" w:cs="Verdana"/>
                <w:b/>
                <w:bCs/>
                <w:i w:val="0"/>
                <w:iCs w:val="0"/>
                <w:sz w:val="24"/>
                <w:szCs w:val="24"/>
              </w:rPr>
              <w:t>Post-Balint groups vs Pre-Balint groups</w:t>
            </w:r>
          </w:p>
          <w:p w14:paraId="4F651B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b/>
                <w:bCs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Bibliography: . Balint groups for improving doctor-patient communication skills in doctors/ medical students.</w:t>
            </w:r>
          </w:p>
        </w:tc>
      </w:tr>
      <w:tr w14:paraId="6470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  <w:tblHeader/>
        </w:trPr>
        <w:tc>
          <w:tcPr>
            <w:tcW w:w="400" w:type="pct"/>
            <w:gridSpan w:val="7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5564CD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20"/>
                <w:szCs w:val="20"/>
              </w:rPr>
              <w:t>Certainty assessment</w:t>
            </w:r>
          </w:p>
        </w:tc>
        <w:tc>
          <w:tcPr>
            <w:tcW w:w="0" w:type="auto"/>
            <w:gridSpan w:val="5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22EF80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20"/>
                <w:szCs w:val="20"/>
              </w:rPr>
              <w:t>Summary of findings</w:t>
            </w:r>
          </w:p>
        </w:tc>
      </w:tr>
      <w:tr w14:paraId="274A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98A81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Participants</w:t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br w:type="textWrapping"/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(studies)</w:t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br w:type="textWrapping"/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Follow-up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6156E7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Risk of bias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4564DF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Inconsistency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B372E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Indirectness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153910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Imprecision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453DC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Publication bias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5D3600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Overall certainty of evidence</w:t>
            </w:r>
          </w:p>
        </w:tc>
        <w:tc>
          <w:tcPr>
            <w:tcW w:w="0" w:type="auto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468E87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Study event rates (%)</w:t>
            </w:r>
          </w:p>
        </w:tc>
        <w:tc>
          <w:tcPr>
            <w:tcW w:w="0" w:type="auto"/>
            <w:vMerge w:val="restar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43C158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Relative effect</w:t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br w:type="textWrapping"/>
            </w: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(95% CI)</w:t>
            </w:r>
          </w:p>
        </w:tc>
        <w:tc>
          <w:tcPr>
            <w:tcW w:w="0" w:type="auto"/>
            <w:gridSpan w:val="2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F762E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Anticipated absolute effects</w:t>
            </w:r>
          </w:p>
        </w:tc>
      </w:tr>
      <w:tr w14:paraId="48AA9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2C69890C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16DBE788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3538B6C1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E4F39B3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2FBEC8C6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6E6FEF83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1CCFD2E1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4737D0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With Pre-Balint groups</w:t>
            </w: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84394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With Post-Balint groups</w:t>
            </w:r>
          </w:p>
        </w:tc>
        <w:tc>
          <w:tcPr>
            <w:tcW w:w="0" w:type="auto"/>
            <w:vMerge w:val="continue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0FE2AFAB">
            <w:pPr>
              <w:jc w:val="center"/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7FD811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Risk with Pre-Balint groups</w:t>
            </w:r>
          </w:p>
        </w:tc>
        <w:tc>
          <w:tcPr>
            <w:tcW w:w="0" w:type="auto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shd w:val="clear" w:color="auto" w:fill="2F5496"/>
            <w:vAlign w:val="center"/>
          </w:tcPr>
          <w:p w14:paraId="6E129D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Verdana" w:hAnsi="Verdana" w:cs="Verdana"/>
                <w:b/>
                <w:bCs/>
                <w:i w:val="0"/>
                <w:iCs w:val="0"/>
                <w:color w:val="FFFFFF"/>
                <w:sz w:val="16"/>
                <w:szCs w:val="16"/>
              </w:rPr>
              <w:t>Risk difference with Post-Balint groups</w:t>
            </w:r>
          </w:p>
        </w:tc>
      </w:tr>
      <w:tr w14:paraId="7441F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CAA74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MBI-GS score-emotional exhaustion</w:t>
            </w:r>
          </w:p>
        </w:tc>
      </w:tr>
      <w:tr w14:paraId="146AC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B31F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108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(3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48498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47FF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B0F1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B2D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9252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none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63843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lang w:val="en-US" w:eastAsia="zh-CN" w:bidi="ar"/>
              </w:rPr>
              <w:t>⨁⨁⨁◯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EB7E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54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B281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54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BADC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16C08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9EBB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1.62 SD lower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(3.21 lower to 0.03 lower)</w:t>
            </w:r>
          </w:p>
        </w:tc>
      </w:tr>
      <w:tr w14:paraId="3C9F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76C9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MBI-GS score-cynicism</w:t>
            </w:r>
          </w:p>
        </w:tc>
      </w:tr>
      <w:tr w14:paraId="4B7B3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E4EB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108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(3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97E4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DCFB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FE9A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0B40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E280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none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0FAE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lang w:val="en-US" w:eastAsia="zh-CN" w:bidi="ar"/>
              </w:rPr>
              <w:t>⨁⨁⨁◯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7BAB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54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6A8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54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981E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231E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CCE6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0.9 SD lower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(1.91 lower to 0.1 higher)</w:t>
            </w:r>
          </w:p>
        </w:tc>
      </w:tr>
      <w:tr w14:paraId="5CB1E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7DC96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MBI-GS score-reduced personal accomplishment</w:t>
            </w:r>
          </w:p>
        </w:tc>
      </w:tr>
      <w:tr w14:paraId="00315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cantSplit/>
        </w:trPr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DA73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108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(3 RCTs)</w:t>
            </w:r>
          </w:p>
        </w:tc>
        <w:tc>
          <w:tcPr>
            <w:tcW w:w="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E742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0A3D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D38B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not serious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BA7E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serious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B265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none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BC574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GRADE-quality" w:hAnsi="GRADE-quality" w:eastAsia="GRADE-quality" w:cs="GRADE-quality"/>
                <w:i w:val="0"/>
                <w:iCs w:val="0"/>
                <w:kern w:val="0"/>
                <w:sz w:val="14"/>
                <w:szCs w:val="14"/>
                <w:lang w:val="en-US" w:eastAsia="zh-CN" w:bidi="ar"/>
              </w:rPr>
              <w:t>⨁⨁⨁◯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Moderate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5F1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54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87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54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AD26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7E4C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-</w:t>
            </w:r>
          </w:p>
        </w:tc>
        <w:tc>
          <w:tcPr>
            <w:tcW w:w="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6631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textAlignment w:val="top"/>
              <w:rPr>
                <w:rFonts w:hint="default" w:ascii="Verdana" w:hAnsi="Verdana" w:cs="Verdana"/>
                <w:i w:val="0"/>
                <w:iCs w:val="0"/>
                <w:sz w:val="16"/>
                <w:szCs w:val="16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 xml:space="preserve">SMD </w:t>
            </w:r>
            <w:r>
              <w:rPr>
                <w:rFonts w:hint="default" w:ascii="Verdana" w:hAnsi="Verdana" w:eastAsia="宋体" w:cs="Verdana"/>
                <w:b/>
                <w:bCs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1.22 SD lower</w:t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br w:type="textWrapping"/>
            </w:r>
            <w:r>
              <w:rPr>
                <w:rFonts w:hint="default" w:ascii="Verdana" w:hAnsi="Verdana" w:eastAsia="宋体" w:cs="Verdana"/>
                <w:i w:val="0"/>
                <w:iCs w:val="0"/>
                <w:kern w:val="0"/>
                <w:sz w:val="16"/>
                <w:szCs w:val="16"/>
                <w:lang w:val="en-US" w:eastAsia="zh-CN" w:bidi="ar"/>
              </w:rPr>
              <w:t>(2.26 lower to 0.17 lower)</w:t>
            </w:r>
          </w:p>
        </w:tc>
      </w:tr>
    </w:tbl>
    <w:p w14:paraId="159987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Fonts w:hint="default" w:ascii="Verdana" w:hAnsi="Verdana" w:cs="Verdana"/>
          <w:b/>
          <w:bCs/>
          <w:i w:val="0"/>
          <w:iCs w:val="0"/>
          <w:color w:val="000000"/>
          <w:sz w:val="16"/>
          <w:szCs w:val="16"/>
        </w:rPr>
        <w:t>CI:</w:t>
      </w:r>
      <w:r>
        <w:rPr>
          <w:rFonts w:hint="default" w:ascii="Verdana" w:hAnsi="Verdana" w:cs="Verdana"/>
          <w:i w:val="0"/>
          <w:iCs w:val="0"/>
          <w:color w:val="000000"/>
          <w:sz w:val="16"/>
          <w:szCs w:val="16"/>
        </w:rPr>
        <w:t xml:space="preserve"> confidence interval; </w:t>
      </w:r>
      <w:r>
        <w:rPr>
          <w:rFonts w:hint="default" w:ascii="Verdana" w:hAnsi="Verdana" w:cs="Verdana"/>
          <w:b/>
          <w:bCs/>
          <w:i w:val="0"/>
          <w:iCs w:val="0"/>
          <w:color w:val="000000"/>
          <w:sz w:val="16"/>
          <w:szCs w:val="16"/>
        </w:rPr>
        <w:t>SMD:</w:t>
      </w:r>
      <w:r>
        <w:rPr>
          <w:rFonts w:hint="default" w:ascii="Verdana" w:hAnsi="Verdana" w:cs="Verdana"/>
          <w:i w:val="0"/>
          <w:iCs w:val="0"/>
          <w:color w:val="000000"/>
          <w:sz w:val="16"/>
          <w:szCs w:val="16"/>
        </w:rPr>
        <w:t xml:space="preserve"> standardised mean difference</w:t>
      </w:r>
    </w:p>
    <w:p w14:paraId="0A01EEE8">
      <w:pPr>
        <w:pStyle w:val="2"/>
        <w:keepNext w:val="0"/>
        <w:keepLines w:val="0"/>
        <w:widowControl/>
        <w:suppressLineNumbers w:val="0"/>
      </w:pPr>
      <w:r>
        <w:rPr>
          <w:i w:val="0"/>
          <w:iCs w:val="0"/>
          <w:color w:val="000000"/>
        </w:rPr>
        <w:t>Explanations</w:t>
      </w:r>
      <w:bookmarkStart w:id="0" w:name="_GoBack"/>
      <w:bookmarkEnd w:id="0"/>
    </w:p>
    <w:p w14:paraId="6DB00260">
      <w:pPr>
        <w:rPr>
          <w:rFonts w:hint="eastAsia" w:ascii="Times New Roman" w:hAnsi="Times New Roman" w:cs="Times New Roman"/>
          <w:sz w:val="24"/>
          <w:szCs w:val="28"/>
        </w:rPr>
      </w:pPr>
      <w:r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lang w:val="en-US" w:eastAsia="zh-CN" w:bidi="ar"/>
        </w:rPr>
        <w:t>a. The results were obtained by subjective self-evaluation.</w:t>
      </w:r>
    </w:p>
    <w:p w14:paraId="273DD9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Verdana" w:hAnsi="Verdana" w:eastAsia="宋体" w:cs="Verdana"/>
          <w:i w:val="0"/>
          <w:iCs w:val="0"/>
          <w:color w:val="000000"/>
          <w:kern w:val="0"/>
          <w:sz w:val="16"/>
          <w:szCs w:val="16"/>
          <w:bdr w:val="none" w:color="auto" w:sz="0" w:space="0"/>
          <w:lang w:val="en-US" w:eastAsia="zh-CN" w:bidi="ar"/>
        </w:rPr>
      </w:pPr>
    </w:p>
    <w:sectPr>
      <w:pgSz w:w="15840" w:h="12240" w:orient="landscape"/>
      <w:pgMar w:top="720" w:right="720" w:bottom="720" w:left="7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RADE-qualit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doNotExpandShiftReturn/>
    <w:useFELayout/>
    <w:splitPgBreakAndParaMark/>
    <w:compatSetting w:name="compatibilityMode" w:uri="http://schemas.microsoft.com/office/word" w:val="12"/>
  </w:compat>
  <w:rsids>
    <w:rsidRoot w:val="00000000"/>
    <w:rsid w:val="03A4690D"/>
    <w:rsid w:val="04CD4C20"/>
    <w:rsid w:val="145D573F"/>
    <w:rsid w:val="3B6E7F2E"/>
    <w:rsid w:val="4DC960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题1"/>
    <w:basedOn w:val="1"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218</Words>
  <Characters>1146</Characters>
  <TotalTime>0</TotalTime>
  <ScaleCrop>false</ScaleCrop>
  <LinksUpToDate>false</LinksUpToDate>
  <CharactersWithSpaces>1269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2025-06-13T12:17:27Z</dcterms:created>
  <dc:creator>xlxy3</dc:creator>
  <cp:lastModifiedBy>许正芬</cp:lastModifiedBy>
  <dcterms:modified xsi:type="dcterms:W3CDTF">2025-06-13T12:19:31Z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eyJoZGlkIjoiOTAzNzExN2MxNzk4NDRhYjZlNTllMjFjZjQxNjQzOGEiLCJ1c2VySWQiOiI0NDkwODMyMjYifQ==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56AEB1C6050541B297C3F8182D2DBED5_12</vt:lpwstr>
  </property>
</Properties>
</file>