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2932" w14:textId="77777777" w:rsidR="00A0228F" w:rsidRPr="00AE219A" w:rsidRDefault="00000000" w:rsidP="00AE219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19A">
        <w:rPr>
          <w:rFonts w:ascii="Times New Roman" w:hAnsi="Times New Roman" w:cs="Times New Roman"/>
          <w:b/>
          <w:sz w:val="28"/>
          <w:szCs w:val="28"/>
        </w:rPr>
        <w:t>Supplementary Tables</w:t>
      </w:r>
    </w:p>
    <w:p w14:paraId="4F4A5348" w14:textId="77777777" w:rsidR="00420838" w:rsidRPr="00420838" w:rsidRDefault="00420838" w:rsidP="00AE21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0838">
        <w:rPr>
          <w:rFonts w:ascii="Times New Roman" w:hAnsi="Times New Roman" w:cs="Times New Roman"/>
          <w:b/>
          <w:sz w:val="24"/>
          <w:szCs w:val="24"/>
        </w:rPr>
        <w:t>Supplementary Table S1: Joint display integrating quantitative effects with qualitative themes across domains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5"/>
        <w:gridCol w:w="1332"/>
        <w:gridCol w:w="1152"/>
        <w:gridCol w:w="1403"/>
        <w:gridCol w:w="1223"/>
        <w:gridCol w:w="1625"/>
      </w:tblGrid>
      <w:tr w:rsidR="00A0228F" w:rsidRPr="00420838" w14:paraId="39A56BEC" w14:textId="77777777" w:rsidTr="00420838">
        <w:tc>
          <w:tcPr>
            <w:tcW w:w="1946" w:type="dxa"/>
          </w:tcPr>
          <w:p w14:paraId="1E567FFA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1366" w:type="dxa"/>
          </w:tcPr>
          <w:p w14:paraId="77786CD6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 quantitative effects</w:t>
            </w:r>
          </w:p>
        </w:tc>
        <w:tc>
          <w:tcPr>
            <w:tcW w:w="1181" w:type="dxa"/>
          </w:tcPr>
          <w:p w14:paraId="61F457D5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Global p (Kruskal–Wallis)</w:t>
            </w:r>
          </w:p>
        </w:tc>
        <w:tc>
          <w:tcPr>
            <w:tcW w:w="1440" w:type="dxa"/>
          </w:tcPr>
          <w:p w14:paraId="75DA7D96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Qualitative theme</w:t>
            </w:r>
          </w:p>
        </w:tc>
        <w:tc>
          <w:tcPr>
            <w:tcW w:w="1254" w:type="dxa"/>
          </w:tcPr>
          <w:p w14:paraId="5A10E352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Exemplar quote (FGD ID)</w:t>
            </w:r>
          </w:p>
        </w:tc>
        <w:tc>
          <w:tcPr>
            <w:tcW w:w="1669" w:type="dxa"/>
          </w:tcPr>
          <w:p w14:paraId="54ED9622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Integrated interpretation</w:t>
            </w:r>
          </w:p>
        </w:tc>
      </w:tr>
      <w:tr w:rsidR="00A0228F" w:rsidRPr="00420838" w14:paraId="5D26DFAD" w14:textId="77777777" w:rsidTr="00420838">
        <w:tc>
          <w:tcPr>
            <w:tcW w:w="1946" w:type="dxa"/>
          </w:tcPr>
          <w:p w14:paraId="1A2A00D9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Stress (perceived/anxiety)</w:t>
            </w:r>
          </w:p>
        </w:tc>
        <w:tc>
          <w:tcPr>
            <w:tcW w:w="1366" w:type="dxa"/>
          </w:tcPr>
          <w:p w14:paraId="586F3C9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PSS ΔA -8.4, ΔB -4.4, ΔC -0.2; GAD-7 ΔA -5.3, ΔB -1.9, ΔC -0.1.</w:t>
            </w:r>
          </w:p>
        </w:tc>
        <w:tc>
          <w:tcPr>
            <w:tcW w:w="1181" w:type="dxa"/>
          </w:tcPr>
          <w:p w14:paraId="3E73D900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40" w:type="dxa"/>
          </w:tcPr>
          <w:p w14:paraId="7D58A9AA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Mental Reset</w:t>
            </w:r>
          </w:p>
        </w:tc>
        <w:tc>
          <w:tcPr>
            <w:tcW w:w="1254" w:type="dxa"/>
          </w:tcPr>
          <w:p w14:paraId="4D71E8B3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“By the fourth day, I felt mentally lighter... like a fog had lifted.” (Participant 112, Year 4) “I wasn’t as anxious as I used to be. It’s like my brain stopped buzzing.” (Participant 165, Year 4)</w:t>
            </w:r>
          </w:p>
        </w:tc>
        <w:tc>
          <w:tcPr>
            <w:tcW w:w="1669" w:type="dxa"/>
          </w:tcPr>
          <w:p w14:paraId="25F9044E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Large reductions in perceived stress and anxiety align with participants’ reports of mental clarity and reduced overstimulation.</w:t>
            </w:r>
          </w:p>
        </w:tc>
      </w:tr>
      <w:tr w:rsidR="00A0228F" w:rsidRPr="00420838" w14:paraId="6DB9B87C" w14:textId="77777777" w:rsidTr="00420838">
        <w:tc>
          <w:tcPr>
            <w:tcW w:w="1946" w:type="dxa"/>
          </w:tcPr>
          <w:p w14:paraId="375FEAA8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Sleep/Rest (endocrine arousal)</w:t>
            </w:r>
          </w:p>
        </w:tc>
        <w:tc>
          <w:tcPr>
            <w:tcW w:w="1366" w:type="dxa"/>
          </w:tcPr>
          <w:p w14:paraId="75B9FDB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Cortisol ΔA -2.9, ΔB -1.7, ΔC -0.1.</w:t>
            </w:r>
          </w:p>
        </w:tc>
        <w:tc>
          <w:tcPr>
            <w:tcW w:w="1181" w:type="dxa"/>
          </w:tcPr>
          <w:p w14:paraId="7B46D7F3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40" w:type="dxa"/>
          </w:tcPr>
          <w:p w14:paraId="67D7855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Reclaiming Rest</w:t>
            </w:r>
          </w:p>
        </w:tc>
        <w:tc>
          <w:tcPr>
            <w:tcW w:w="1254" w:type="dxa"/>
          </w:tcPr>
          <w:p w14:paraId="5222D1B0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“I started sleeping at 10:30 pm without scrolling for hours. I woke up fresher.” (Participant 176, Year 2) “I had dreams again—like real ones. Probably because I wasn’t watching anything before bed.” (Participant 121, Year 3)</w:t>
            </w:r>
          </w:p>
        </w:tc>
        <w:tc>
          <w:tcPr>
            <w:tcW w:w="1669" w:type="dxa"/>
          </w:tcPr>
          <w:p w14:paraId="1CD3358A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Earlier sleep and less bedtime scrolling correspond with lower morning cortisol, suggesting reduced arousal.</w:t>
            </w:r>
          </w:p>
        </w:tc>
      </w:tr>
      <w:tr w:rsidR="00A0228F" w:rsidRPr="00420838" w14:paraId="1C066B91" w14:textId="77777777" w:rsidTr="00420838">
        <w:tc>
          <w:tcPr>
            <w:tcW w:w="1946" w:type="dxa"/>
          </w:tcPr>
          <w:p w14:paraId="08E76696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Autonomic balance (HRV)</w:t>
            </w:r>
          </w:p>
        </w:tc>
        <w:tc>
          <w:tcPr>
            <w:tcW w:w="1366" w:type="dxa"/>
          </w:tcPr>
          <w:p w14:paraId="30572D95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 xml:space="preserve">HRV (SDNN, ms) post means: A </w:t>
            </w: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50.1, B 44.2, C 39.5.</w:t>
            </w:r>
          </w:p>
        </w:tc>
        <w:tc>
          <w:tcPr>
            <w:tcW w:w="1181" w:type="dxa"/>
          </w:tcPr>
          <w:p w14:paraId="1B7C8399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&lt;0.001</w:t>
            </w:r>
          </w:p>
        </w:tc>
        <w:tc>
          <w:tcPr>
            <w:tcW w:w="1440" w:type="dxa"/>
          </w:tcPr>
          <w:p w14:paraId="12D14F97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Regaining Academic Control</w:t>
            </w:r>
          </w:p>
        </w:tc>
        <w:tc>
          <w:tcPr>
            <w:tcW w:w="1254" w:type="dxa"/>
          </w:tcPr>
          <w:p w14:paraId="02E7008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 xml:space="preserve">“I was able to study for 2 hours </w:t>
            </w: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straight without checking my phone. That’s a big deal for me.” (Participant 89, Year 3) “I finally finished a topic without having to re-read it five times.” (Participant 133, Year 1)</w:t>
            </w:r>
          </w:p>
        </w:tc>
        <w:tc>
          <w:tcPr>
            <w:tcW w:w="1669" w:type="dxa"/>
          </w:tcPr>
          <w:p w14:paraId="730B8551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Higher SDNN (overall HRV) is concordant with reports </w:t>
            </w: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of sustained focus and reduced distraction.</w:t>
            </w:r>
          </w:p>
        </w:tc>
      </w:tr>
      <w:tr w:rsidR="00A0228F" w:rsidRPr="00420838" w14:paraId="5886C16F" w14:textId="77777777" w:rsidTr="00420838">
        <w:tc>
          <w:tcPr>
            <w:tcW w:w="1946" w:type="dxa"/>
          </w:tcPr>
          <w:p w14:paraId="3D595CE3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Inflammation (CRP &amp; IL-6)</w:t>
            </w:r>
          </w:p>
        </w:tc>
        <w:tc>
          <w:tcPr>
            <w:tcW w:w="1366" w:type="dxa"/>
          </w:tcPr>
          <w:p w14:paraId="284D47AF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CRP ΔA -1.2, ΔB -0.5, ΔC +0.0; IL-6 ΔA -1.7, ΔB -1.3, ΔC +0.0.</w:t>
            </w:r>
          </w:p>
        </w:tc>
        <w:tc>
          <w:tcPr>
            <w:tcW w:w="1181" w:type="dxa"/>
          </w:tcPr>
          <w:p w14:paraId="37C3C889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CRP &lt;0.001; IL-6 &lt;0.001</w:t>
            </w:r>
          </w:p>
        </w:tc>
        <w:tc>
          <w:tcPr>
            <w:tcW w:w="1440" w:type="dxa"/>
          </w:tcPr>
          <w:p w14:paraId="6CF0FFF1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Unplugging the Habit</w:t>
            </w:r>
          </w:p>
        </w:tc>
        <w:tc>
          <w:tcPr>
            <w:tcW w:w="1254" w:type="dxa"/>
          </w:tcPr>
          <w:p w14:paraId="7497A806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 xml:space="preserve">“I didn’t realize how hooked I was until I had to actually stop using my </w:t>
            </w: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phone. I felt agitated for the first few days.” (Participant 43, Year 3) “My screen time was shocking. I had no idea it was over 9 hours.” (Participant 58, Year 2)</w:t>
            </w:r>
          </w:p>
        </w:tc>
        <w:tc>
          <w:tcPr>
            <w:tcW w:w="1669" w:type="dxa"/>
          </w:tcPr>
          <w:p w14:paraId="7915E889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Reduced digital overload and fewer late-night sessions plausibly contribute to small anti-</w:t>
            </w: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inflammatory shifts.</w:t>
            </w:r>
          </w:p>
        </w:tc>
      </w:tr>
      <w:tr w:rsidR="00A0228F" w:rsidRPr="00420838" w14:paraId="2DE3A8C7" w14:textId="77777777" w:rsidTr="00420838">
        <w:tc>
          <w:tcPr>
            <w:tcW w:w="1946" w:type="dxa"/>
          </w:tcPr>
          <w:p w14:paraId="44B7AE4B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Social connection (contextual)</w:t>
            </w:r>
          </w:p>
        </w:tc>
        <w:tc>
          <w:tcPr>
            <w:tcW w:w="1366" w:type="dxa"/>
          </w:tcPr>
          <w:p w14:paraId="55A64D75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No prespecified primary endpoint; supportive domain.</w:t>
            </w:r>
          </w:p>
        </w:tc>
        <w:tc>
          <w:tcPr>
            <w:tcW w:w="1181" w:type="dxa"/>
          </w:tcPr>
          <w:p w14:paraId="67F6760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40" w:type="dxa"/>
          </w:tcPr>
          <w:p w14:paraId="751A6299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Reconnecting Offline</w:t>
            </w:r>
          </w:p>
        </w:tc>
        <w:tc>
          <w:tcPr>
            <w:tcW w:w="1254" w:type="dxa"/>
          </w:tcPr>
          <w:p w14:paraId="10457E0C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 xml:space="preserve">“We played Ludo after dinner for the first time in years. It made our evenings feel more real.” </w:t>
            </w: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(Participant 203, Year 4) “Talking to my sister instead of texting her from the next room—felt weird at first, but good.” (Participant 97, Year 2)</w:t>
            </w:r>
          </w:p>
        </w:tc>
        <w:tc>
          <w:tcPr>
            <w:tcW w:w="1669" w:type="dxa"/>
          </w:tcPr>
          <w:p w14:paraId="55014C9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Participants described renewed face-to-face interaction and family time, complementing improvements </w:t>
            </w:r>
            <w:r w:rsidRPr="00420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 stress and mood.</w:t>
            </w:r>
          </w:p>
        </w:tc>
      </w:tr>
    </w:tbl>
    <w:p w14:paraId="64F728C4" w14:textId="77777777" w:rsidR="00420838" w:rsidRDefault="00420838" w:rsidP="00AE219A">
      <w:pPr>
        <w:spacing w:after="120" w:line="360" w:lineRule="auto"/>
        <w:rPr>
          <w:rFonts w:ascii="Times New Roman" w:hAnsi="Times New Roman" w:cs="Times New Roman"/>
          <w:bCs/>
        </w:rPr>
      </w:pPr>
    </w:p>
    <w:p w14:paraId="6FF3393D" w14:textId="77777777" w:rsidR="00AE219A" w:rsidRDefault="00AE219A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A428E41" w14:textId="77777777" w:rsidR="00AE219A" w:rsidRDefault="00AE219A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1869949" w14:textId="77777777" w:rsidR="00AE219A" w:rsidRDefault="00AE219A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080D7C" w14:textId="77777777" w:rsidR="00AE219A" w:rsidRDefault="00AE219A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88B045" w14:textId="77777777" w:rsidR="00AE219A" w:rsidRDefault="00AE219A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971B34F" w14:textId="77777777" w:rsidR="00AE219A" w:rsidRDefault="00AE219A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CB021A" w14:textId="77777777" w:rsidR="00AE219A" w:rsidRDefault="00AE219A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1A7806" w14:textId="77777777" w:rsidR="00AE219A" w:rsidRDefault="00AE219A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D7F22E5" w14:textId="77777777" w:rsidR="00AE219A" w:rsidRDefault="00AE219A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E9A2B0A" w14:textId="0E7B5BD8" w:rsidR="00420838" w:rsidRPr="00420838" w:rsidRDefault="00420838" w:rsidP="00AE219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0838">
        <w:rPr>
          <w:rFonts w:ascii="Times New Roman" w:hAnsi="Times New Roman" w:cs="Times New Roman"/>
          <w:b/>
          <w:sz w:val="24"/>
          <w:szCs w:val="24"/>
        </w:rPr>
        <w:lastRenderedPageBreak/>
        <w:t>Supplementary Table S2. Exploratory component contrast (Group A vs Group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1396"/>
        <w:gridCol w:w="1423"/>
        <w:gridCol w:w="1292"/>
        <w:gridCol w:w="1390"/>
        <w:gridCol w:w="1406"/>
      </w:tblGrid>
      <w:tr w:rsidR="00A0228F" w:rsidRPr="00420838" w14:paraId="28905C2A" w14:textId="77777777" w:rsidTr="00420838">
        <w:tc>
          <w:tcPr>
            <w:tcW w:w="1440" w:type="dxa"/>
          </w:tcPr>
          <w:p w14:paraId="13C3239F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 (unit)</w:t>
            </w:r>
          </w:p>
        </w:tc>
        <w:tc>
          <w:tcPr>
            <w:tcW w:w="1440" w:type="dxa"/>
          </w:tcPr>
          <w:p w14:paraId="403A49B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ΔA (Detox + activities)</w:t>
            </w:r>
          </w:p>
        </w:tc>
        <w:tc>
          <w:tcPr>
            <w:tcW w:w="1440" w:type="dxa"/>
          </w:tcPr>
          <w:p w14:paraId="172A480C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ΔB (Reduction only)</w:t>
            </w:r>
          </w:p>
        </w:tc>
        <w:tc>
          <w:tcPr>
            <w:tcW w:w="1440" w:type="dxa"/>
          </w:tcPr>
          <w:p w14:paraId="4C1ABD0A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ΔΔ (A − B)</w:t>
            </w:r>
          </w:p>
        </w:tc>
        <w:tc>
          <w:tcPr>
            <w:tcW w:w="1440" w:type="dxa"/>
          </w:tcPr>
          <w:p w14:paraId="38D309D1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Direction</w:t>
            </w:r>
          </w:p>
        </w:tc>
        <w:tc>
          <w:tcPr>
            <w:tcW w:w="1440" w:type="dxa"/>
          </w:tcPr>
          <w:p w14:paraId="132C60F5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Global p (Kruskal–Wallis)</w:t>
            </w:r>
          </w:p>
        </w:tc>
      </w:tr>
      <w:tr w:rsidR="00A0228F" w:rsidRPr="00420838" w14:paraId="57BB682A" w14:textId="77777777" w:rsidTr="00420838">
        <w:tc>
          <w:tcPr>
            <w:tcW w:w="1440" w:type="dxa"/>
          </w:tcPr>
          <w:p w14:paraId="452C83D6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PSS Score</w:t>
            </w:r>
          </w:p>
        </w:tc>
        <w:tc>
          <w:tcPr>
            <w:tcW w:w="1440" w:type="dxa"/>
          </w:tcPr>
          <w:p w14:paraId="57CA74A5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-8.4</w:t>
            </w:r>
          </w:p>
        </w:tc>
        <w:tc>
          <w:tcPr>
            <w:tcW w:w="1440" w:type="dxa"/>
          </w:tcPr>
          <w:p w14:paraId="0CE9B7DC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1440" w:type="dxa"/>
          </w:tcPr>
          <w:p w14:paraId="7D3F2532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-4.0</w:t>
            </w:r>
          </w:p>
        </w:tc>
        <w:tc>
          <w:tcPr>
            <w:tcW w:w="1440" w:type="dxa"/>
          </w:tcPr>
          <w:p w14:paraId="7A82EACB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0B7662DD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228F" w:rsidRPr="00420838" w14:paraId="6C20C517" w14:textId="77777777" w:rsidTr="00420838">
        <w:tc>
          <w:tcPr>
            <w:tcW w:w="1440" w:type="dxa"/>
          </w:tcPr>
          <w:p w14:paraId="4B97EFB8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GAD-7 Score</w:t>
            </w:r>
          </w:p>
        </w:tc>
        <w:tc>
          <w:tcPr>
            <w:tcW w:w="1440" w:type="dxa"/>
          </w:tcPr>
          <w:p w14:paraId="1ED4453B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-5.3</w:t>
            </w:r>
          </w:p>
        </w:tc>
        <w:tc>
          <w:tcPr>
            <w:tcW w:w="1440" w:type="dxa"/>
          </w:tcPr>
          <w:p w14:paraId="5070A4AD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-1.9</w:t>
            </w:r>
          </w:p>
        </w:tc>
        <w:tc>
          <w:tcPr>
            <w:tcW w:w="1440" w:type="dxa"/>
          </w:tcPr>
          <w:p w14:paraId="0C6A5C30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-3.4</w:t>
            </w:r>
          </w:p>
        </w:tc>
        <w:tc>
          <w:tcPr>
            <w:tcW w:w="1440" w:type="dxa"/>
          </w:tcPr>
          <w:p w14:paraId="675F6105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5119F6E0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228F" w:rsidRPr="00420838" w14:paraId="6FD96475" w14:textId="77777777" w:rsidTr="00420838">
        <w:tc>
          <w:tcPr>
            <w:tcW w:w="1440" w:type="dxa"/>
          </w:tcPr>
          <w:p w14:paraId="4035FBC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Morning Cortisol (nmol/L)</w:t>
            </w:r>
          </w:p>
        </w:tc>
        <w:tc>
          <w:tcPr>
            <w:tcW w:w="1440" w:type="dxa"/>
          </w:tcPr>
          <w:p w14:paraId="72086425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-2.9</w:t>
            </w:r>
          </w:p>
        </w:tc>
        <w:tc>
          <w:tcPr>
            <w:tcW w:w="1440" w:type="dxa"/>
          </w:tcPr>
          <w:p w14:paraId="46F6C665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-1.7</w:t>
            </w:r>
          </w:p>
        </w:tc>
        <w:tc>
          <w:tcPr>
            <w:tcW w:w="1440" w:type="dxa"/>
          </w:tcPr>
          <w:p w14:paraId="0425DA5A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</w:p>
        </w:tc>
        <w:tc>
          <w:tcPr>
            <w:tcW w:w="1440" w:type="dxa"/>
          </w:tcPr>
          <w:p w14:paraId="3B365103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2DCEC146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228F" w:rsidRPr="00420838" w14:paraId="3026EC73" w14:textId="77777777" w:rsidTr="00420838">
        <w:tc>
          <w:tcPr>
            <w:tcW w:w="1440" w:type="dxa"/>
          </w:tcPr>
          <w:p w14:paraId="01EFC808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CRP (mg/L)</w:t>
            </w:r>
          </w:p>
        </w:tc>
        <w:tc>
          <w:tcPr>
            <w:tcW w:w="1440" w:type="dxa"/>
          </w:tcPr>
          <w:p w14:paraId="66D98131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</w:p>
        </w:tc>
        <w:tc>
          <w:tcPr>
            <w:tcW w:w="1440" w:type="dxa"/>
          </w:tcPr>
          <w:p w14:paraId="413E2E0A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1440" w:type="dxa"/>
          </w:tcPr>
          <w:p w14:paraId="0978FC12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-0.7</w:t>
            </w:r>
          </w:p>
        </w:tc>
        <w:tc>
          <w:tcPr>
            <w:tcW w:w="1440" w:type="dxa"/>
          </w:tcPr>
          <w:p w14:paraId="016AE821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7D57E631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228F" w:rsidRPr="00420838" w14:paraId="346FC9F7" w14:textId="77777777" w:rsidTr="00420838">
        <w:tc>
          <w:tcPr>
            <w:tcW w:w="1440" w:type="dxa"/>
          </w:tcPr>
          <w:p w14:paraId="6049C686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IL-6 (pg/mL)</w:t>
            </w:r>
          </w:p>
        </w:tc>
        <w:tc>
          <w:tcPr>
            <w:tcW w:w="1440" w:type="dxa"/>
          </w:tcPr>
          <w:p w14:paraId="0951FF37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-1.7</w:t>
            </w:r>
          </w:p>
        </w:tc>
        <w:tc>
          <w:tcPr>
            <w:tcW w:w="1440" w:type="dxa"/>
          </w:tcPr>
          <w:p w14:paraId="29B8901D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</w:p>
        </w:tc>
        <w:tc>
          <w:tcPr>
            <w:tcW w:w="1440" w:type="dxa"/>
          </w:tcPr>
          <w:p w14:paraId="287D65AE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  <w:tc>
          <w:tcPr>
            <w:tcW w:w="1440" w:type="dxa"/>
          </w:tcPr>
          <w:p w14:paraId="6DB2801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73E85E1F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228F" w:rsidRPr="00420838" w14:paraId="0F40D4DD" w14:textId="77777777" w:rsidTr="00420838">
        <w:tc>
          <w:tcPr>
            <w:tcW w:w="1440" w:type="dxa"/>
          </w:tcPr>
          <w:p w14:paraId="3FA3E890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24h Urinary Epinephrine (µg/day)</w:t>
            </w:r>
          </w:p>
        </w:tc>
        <w:tc>
          <w:tcPr>
            <w:tcW w:w="1440" w:type="dxa"/>
          </w:tcPr>
          <w:p w14:paraId="0E1DC25E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-5.1</w:t>
            </w:r>
          </w:p>
        </w:tc>
        <w:tc>
          <w:tcPr>
            <w:tcW w:w="1440" w:type="dxa"/>
          </w:tcPr>
          <w:p w14:paraId="26B652C3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-0.8</w:t>
            </w:r>
          </w:p>
        </w:tc>
        <w:tc>
          <w:tcPr>
            <w:tcW w:w="1440" w:type="dxa"/>
          </w:tcPr>
          <w:p w14:paraId="3B91C8AC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-4.3</w:t>
            </w:r>
          </w:p>
        </w:tc>
        <w:tc>
          <w:tcPr>
            <w:tcW w:w="1440" w:type="dxa"/>
          </w:tcPr>
          <w:p w14:paraId="62CC5369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53A8D6AF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A0228F" w:rsidRPr="00420838" w14:paraId="34F88D75" w14:textId="77777777" w:rsidTr="00420838">
        <w:tc>
          <w:tcPr>
            <w:tcW w:w="1440" w:type="dxa"/>
          </w:tcPr>
          <w:p w14:paraId="4532DB3B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24h Urinary Norepinephrine (µg/day)</w:t>
            </w:r>
          </w:p>
        </w:tc>
        <w:tc>
          <w:tcPr>
            <w:tcW w:w="1440" w:type="dxa"/>
          </w:tcPr>
          <w:p w14:paraId="4B114212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-7.7</w:t>
            </w:r>
          </w:p>
        </w:tc>
        <w:tc>
          <w:tcPr>
            <w:tcW w:w="1440" w:type="dxa"/>
          </w:tcPr>
          <w:p w14:paraId="70208BFF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-5.5</w:t>
            </w:r>
          </w:p>
        </w:tc>
        <w:tc>
          <w:tcPr>
            <w:tcW w:w="1440" w:type="dxa"/>
          </w:tcPr>
          <w:p w14:paraId="2BA79F36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-2.2</w:t>
            </w:r>
          </w:p>
        </w:tc>
        <w:tc>
          <w:tcPr>
            <w:tcW w:w="1440" w:type="dxa"/>
          </w:tcPr>
          <w:p w14:paraId="5893B1E8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351D0293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A0228F" w:rsidRPr="00420838" w14:paraId="03FE8163" w14:textId="77777777" w:rsidTr="00420838">
        <w:tc>
          <w:tcPr>
            <w:tcW w:w="1440" w:type="dxa"/>
          </w:tcPr>
          <w:p w14:paraId="3E5782FE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MDA (nmol/mL)</w:t>
            </w:r>
          </w:p>
        </w:tc>
        <w:tc>
          <w:tcPr>
            <w:tcW w:w="1440" w:type="dxa"/>
          </w:tcPr>
          <w:p w14:paraId="3E491AAC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-0.8</w:t>
            </w:r>
          </w:p>
        </w:tc>
        <w:tc>
          <w:tcPr>
            <w:tcW w:w="1440" w:type="dxa"/>
          </w:tcPr>
          <w:p w14:paraId="15910E81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  <w:tc>
          <w:tcPr>
            <w:tcW w:w="1440" w:type="dxa"/>
          </w:tcPr>
          <w:p w14:paraId="78E6326B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</w:p>
        </w:tc>
        <w:tc>
          <w:tcPr>
            <w:tcW w:w="1440" w:type="dxa"/>
          </w:tcPr>
          <w:p w14:paraId="32291E9F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6E887507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A0228F" w:rsidRPr="00420838" w14:paraId="471ECB12" w14:textId="77777777" w:rsidTr="00420838">
        <w:tc>
          <w:tcPr>
            <w:tcW w:w="1440" w:type="dxa"/>
          </w:tcPr>
          <w:p w14:paraId="55B65F8C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Catalase (U/mg protein)</w:t>
            </w:r>
          </w:p>
        </w:tc>
        <w:tc>
          <w:tcPr>
            <w:tcW w:w="1440" w:type="dxa"/>
          </w:tcPr>
          <w:p w14:paraId="507C5A9F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+2.0</w:t>
            </w:r>
          </w:p>
        </w:tc>
        <w:tc>
          <w:tcPr>
            <w:tcW w:w="1440" w:type="dxa"/>
          </w:tcPr>
          <w:p w14:paraId="4DAD5AA8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+0.7</w:t>
            </w:r>
          </w:p>
        </w:tc>
        <w:tc>
          <w:tcPr>
            <w:tcW w:w="1440" w:type="dxa"/>
          </w:tcPr>
          <w:p w14:paraId="0E7BB128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+1.3</w:t>
            </w:r>
          </w:p>
        </w:tc>
        <w:tc>
          <w:tcPr>
            <w:tcW w:w="1440" w:type="dxa"/>
          </w:tcPr>
          <w:p w14:paraId="3A480201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7781BC39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A0228F" w:rsidRPr="00420838" w14:paraId="20B1BBD3" w14:textId="77777777" w:rsidTr="00420838">
        <w:tc>
          <w:tcPr>
            <w:tcW w:w="1440" w:type="dxa"/>
          </w:tcPr>
          <w:p w14:paraId="03614ED4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SOD (U/mg protein)</w:t>
            </w:r>
          </w:p>
        </w:tc>
        <w:tc>
          <w:tcPr>
            <w:tcW w:w="1440" w:type="dxa"/>
          </w:tcPr>
          <w:p w14:paraId="4719D3F6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+0.4</w:t>
            </w:r>
          </w:p>
        </w:tc>
        <w:tc>
          <w:tcPr>
            <w:tcW w:w="1440" w:type="dxa"/>
          </w:tcPr>
          <w:p w14:paraId="44E56001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+0.0</w:t>
            </w:r>
          </w:p>
        </w:tc>
        <w:tc>
          <w:tcPr>
            <w:tcW w:w="1440" w:type="dxa"/>
          </w:tcPr>
          <w:p w14:paraId="2EA0E5D3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+0.4</w:t>
            </w:r>
          </w:p>
        </w:tc>
        <w:tc>
          <w:tcPr>
            <w:tcW w:w="1440" w:type="dxa"/>
          </w:tcPr>
          <w:p w14:paraId="6D9D92DC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Favors A</w:t>
            </w:r>
          </w:p>
        </w:tc>
        <w:tc>
          <w:tcPr>
            <w:tcW w:w="1440" w:type="dxa"/>
          </w:tcPr>
          <w:p w14:paraId="5117FF80" w14:textId="77777777" w:rsidR="00A0228F" w:rsidRPr="00420838" w:rsidRDefault="00000000" w:rsidP="00AE21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38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</w:tr>
    </w:tbl>
    <w:p w14:paraId="5D7F5DD3" w14:textId="77777777" w:rsidR="005B760E" w:rsidRPr="00420838" w:rsidRDefault="005B760E" w:rsidP="00AE2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B760E" w:rsidRPr="004208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B8C7B16"/>
    <w:multiLevelType w:val="multilevel"/>
    <w:tmpl w:val="A058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625330">
    <w:abstractNumId w:val="8"/>
  </w:num>
  <w:num w:numId="2" w16cid:durableId="106430485">
    <w:abstractNumId w:val="6"/>
  </w:num>
  <w:num w:numId="3" w16cid:durableId="984503165">
    <w:abstractNumId w:val="5"/>
  </w:num>
  <w:num w:numId="4" w16cid:durableId="2080203038">
    <w:abstractNumId w:val="4"/>
  </w:num>
  <w:num w:numId="5" w16cid:durableId="1163932186">
    <w:abstractNumId w:val="7"/>
  </w:num>
  <w:num w:numId="6" w16cid:durableId="363948657">
    <w:abstractNumId w:val="3"/>
  </w:num>
  <w:num w:numId="7" w16cid:durableId="1400471365">
    <w:abstractNumId w:val="2"/>
  </w:num>
  <w:num w:numId="8" w16cid:durableId="433744384">
    <w:abstractNumId w:val="1"/>
  </w:num>
  <w:num w:numId="9" w16cid:durableId="1722292429">
    <w:abstractNumId w:val="0"/>
  </w:num>
  <w:num w:numId="10" w16cid:durableId="6751129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4D8D"/>
    <w:rsid w:val="00420838"/>
    <w:rsid w:val="005B760E"/>
    <w:rsid w:val="006E1ED2"/>
    <w:rsid w:val="00A0228F"/>
    <w:rsid w:val="00AA1D8D"/>
    <w:rsid w:val="00AE219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AEF7F7"/>
  <w14:defaultImageDpi w14:val="300"/>
  <w15:docId w15:val="{9484F551-465B-4D9A-8EA8-7D352CE9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511</Words>
  <Characters>2697</Characters>
  <Application>Microsoft Office Word</Application>
  <DocSecurity>0</DocSecurity>
  <Lines>385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 Support</cp:lastModifiedBy>
  <cp:revision>3</cp:revision>
  <dcterms:created xsi:type="dcterms:W3CDTF">2025-08-18T19:15:00Z</dcterms:created>
  <dcterms:modified xsi:type="dcterms:W3CDTF">2025-08-18T19:15:00Z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7c07a16c-7564-491a-9d59-ebe3b92e2413</vt:lpwstr>
  </property>
</Properties>
</file>