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2"/>
          <w:szCs w:val="28"/>
          <w:lang w:val="en-US" w:eastAsia="zh-CN"/>
        </w:rPr>
      </w:pPr>
      <w:bookmarkStart w:id="0" w:name="_GoBack"/>
      <w:bookmarkEnd w:id="0"/>
    </w:p>
    <w:p>
      <w:pPr>
        <w:rPr>
          <w:rFonts w:hint="default" w:eastAsiaTheme="minorEastAsia"/>
          <w:color w:val="auto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 xml:space="preserve">Supplementary table </w:t>
      </w:r>
      <w:r>
        <w:rPr>
          <w:rFonts w:hint="eastAsia"/>
          <w:b w:val="0"/>
          <w:bCs w:val="0"/>
          <w:sz w:val="22"/>
          <w:szCs w:val="28"/>
          <w:lang w:val="en-US" w:eastAsia="zh-CN"/>
        </w:rPr>
        <w:t>S1</w:t>
      </w:r>
      <w:r>
        <w:rPr>
          <w:rFonts w:hint="eastAsia"/>
          <w:sz w:val="22"/>
          <w:szCs w:val="28"/>
          <w:lang w:val="en-US" w:eastAsia="zh-CN"/>
        </w:rPr>
        <w:t>: Item analysis, factor loadings, corrected item-total correlations, and Cronbach</w:t>
      </w:r>
      <w:r>
        <w:rPr>
          <w:rFonts w:hint="default"/>
          <w:sz w:val="22"/>
          <w:szCs w:val="28"/>
          <w:lang w:val="en-US" w:eastAsia="zh-CN"/>
        </w:rPr>
        <w:t>’</w:t>
      </w:r>
      <w:r>
        <w:rPr>
          <w:rFonts w:hint="eastAsia"/>
          <w:sz w:val="22"/>
          <w:szCs w:val="28"/>
          <w:lang w:val="en-US" w:eastAsia="zh-CN"/>
        </w:rPr>
        <w:t>s alpha if item deleted o</w:t>
      </w:r>
      <w:r>
        <w:rPr>
          <w:rFonts w:hint="eastAsia"/>
          <w:color w:val="auto"/>
          <w:sz w:val="22"/>
          <w:szCs w:val="28"/>
          <w:lang w:val="en-US" w:eastAsia="zh-CN"/>
        </w:rPr>
        <w:t>f DMS (n = 295)</w:t>
      </w:r>
    </w:p>
    <w:tbl>
      <w:tblPr>
        <w:tblStyle w:val="3"/>
        <w:tblW w:w="14145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2"/>
        <w:gridCol w:w="1269"/>
        <w:gridCol w:w="2024"/>
        <w:gridCol w:w="2013"/>
        <w:gridCol w:w="1975"/>
        <w:gridCol w:w="756"/>
        <w:gridCol w:w="183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27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cs="Times New Roman" w:asciiTheme="minorAscii" w:hAnsiTheme="minorAscii"/>
                <w:b/>
                <w:bCs/>
                <w:sz w:val="22"/>
                <w:szCs w:val="22"/>
              </w:rPr>
            </w:pPr>
            <w:r>
              <w:rPr>
                <w:rFonts w:hint="default" w:cs="Times New Roman" w:asciiTheme="minorAscii" w:hAnsiTheme="minorAscii"/>
                <w:b/>
                <w:bCs/>
                <w:sz w:val="22"/>
                <w:szCs w:val="22"/>
                <w:lang w:val="en-US" w:eastAsia="zh-CN"/>
              </w:rPr>
              <w:t>Item</w:t>
            </w:r>
          </w:p>
        </w:tc>
        <w:tc>
          <w:tcPr>
            <w:tcW w:w="126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cs="Times New Roman" w:asciiTheme="minorAscii" w:hAnsiTheme="minorAscii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2"/>
                <w:szCs w:val="22"/>
                <w:lang w:val="en-US" w:eastAsia="zh-CN"/>
              </w:rPr>
              <w:t>Mean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2"/>
                <w:szCs w:val="22"/>
                <w:lang w:val="en-US" w:eastAsia="zh-CN"/>
              </w:rPr>
              <w:t>± SD</w:t>
            </w:r>
          </w:p>
        </w:tc>
        <w:tc>
          <w:tcPr>
            <w:tcW w:w="202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default" w:cs="Times New Roman" w:asciiTheme="minorAscii" w:hAnsiTheme="minorAscii"/>
                <w:b/>
                <w:bCs/>
                <w:sz w:val="22"/>
                <w:szCs w:val="22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Factor1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 Defensive Medicine</w:t>
            </w:r>
          </w:p>
        </w:tc>
        <w:tc>
          <w:tcPr>
            <w:tcW w:w="201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default" w:cs="Times New Roman" w:asciiTheme="minorAscii" w:hAnsiTheme="minorAscii"/>
                <w:b/>
                <w:bCs/>
                <w:sz w:val="22"/>
                <w:szCs w:val="22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Factor 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2: 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 Defensive Medicine</w:t>
            </w:r>
          </w:p>
        </w:tc>
        <w:tc>
          <w:tcPr>
            <w:tcW w:w="197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default" w:cs="Times New Roman" w:asciiTheme="minorAscii" w:hAnsiTheme="minorAscii"/>
                <w:b/>
                <w:bCs/>
                <w:sz w:val="22"/>
                <w:szCs w:val="22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Factor 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3: </w:t>
            </w: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Defensive Reliance</w:t>
            </w:r>
          </w:p>
        </w:tc>
        <w:tc>
          <w:tcPr>
            <w:tcW w:w="75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default" w:cs="Times New Roman" w:asciiTheme="minorAscii" w:hAnsiTheme="minorAscii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2"/>
                <w:szCs w:val="22"/>
                <w:lang w:val="en-US" w:eastAsia="zh-CN"/>
              </w:rPr>
              <w:t>CITC</w:t>
            </w:r>
          </w:p>
        </w:tc>
        <w:tc>
          <w:tcPr>
            <w:tcW w:w="183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default" w:cs="Times New Roman" w:asciiTheme="minorAscii" w:hAnsiTheme="minorAscii"/>
                <w:b/>
                <w:bCs/>
                <w:sz w:val="22"/>
                <w:szCs w:val="22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Cronbach’s Alpha if Item Deleted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(1)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Only feel confident after consulting a superior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3.93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± 0.70</w:t>
            </w:r>
          </w:p>
        </w:tc>
        <w:tc>
          <w:tcPr>
            <w:tcW w:w="202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0.389</w:t>
            </w:r>
          </w:p>
        </w:tc>
        <w:tc>
          <w:tcPr>
            <w:tcW w:w="2013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0.177</w:t>
            </w:r>
          </w:p>
        </w:tc>
        <w:tc>
          <w:tcPr>
            <w:tcW w:w="197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0.533</w:t>
            </w:r>
          </w:p>
        </w:tc>
        <w:tc>
          <w:tcPr>
            <w:tcW w:w="75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0.436</w:t>
            </w:r>
          </w:p>
        </w:tc>
        <w:tc>
          <w:tcPr>
            <w:tcW w:w="183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(2)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Believe that patients need referral or consultation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2.92 ± 0.81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0.721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0.026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0.189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0.391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(3)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Consider additional tests or examinations necessary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3.04 ± 0.83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0.748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0.203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0.002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0.432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(4)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Believe patients benefit from using more medications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2.64 ± 0.76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0.783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0.096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-0.161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0.326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(5)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Consider signing informed consent forms essential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4.79 ± 0.56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-0.065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-0.177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0.684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(6)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Exaggerating the severity of illness to lower patient expectations is appropriate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2.79 ± 0.87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0.435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0.549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0.050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0.477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(7)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Prefer to let patients and families make decisions on their own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3.78 ± 0.82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 w:eastAsiaTheme="minorEastAsia"/>
                <w:sz w:val="21"/>
                <w:szCs w:val="21"/>
                <w:lang w:val="en-US" w:eastAsia="zh-CN"/>
              </w:rPr>
              <w:t>0.049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 w:eastAsiaTheme="minorEastAsia"/>
                <w:sz w:val="21"/>
                <w:szCs w:val="21"/>
                <w:lang w:val="en-US" w:eastAsia="zh-CN"/>
              </w:rPr>
              <w:t>0.174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0.579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0.269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(8)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Try to minimize high-risk medical procedures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3.99 ± 0.80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 w:eastAsiaTheme="minorEastAsia"/>
                <w:sz w:val="21"/>
                <w:szCs w:val="21"/>
                <w:lang w:val="en-US" w:eastAsia="zh-CN"/>
              </w:rPr>
              <w:t>-0.049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 w:eastAsiaTheme="minorEastAsia"/>
                <w:sz w:val="21"/>
                <w:szCs w:val="21"/>
                <w:lang w:val="en-US" w:eastAsia="zh-CN"/>
              </w:rPr>
              <w:t>0.192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0.707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0.276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(9)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Prefer treating fewer patients rather than more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3.40 ± 0.95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0.55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0.785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0.196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0.436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(10)</w:t>
            </w: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Dislike treating high-risk patients</w:t>
            </w:r>
            <w:r>
              <w:rPr>
                <w:rFonts w:hint="eastAsia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1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b w:val="0"/>
                <w:bCs w:val="0"/>
                <w:sz w:val="21"/>
                <w:szCs w:val="21"/>
                <w:lang w:val="en-US" w:eastAsia="zh-CN"/>
              </w:rPr>
              <w:t>2.99 ± 0.91</w:t>
            </w:r>
          </w:p>
        </w:tc>
        <w:tc>
          <w:tcPr>
            <w:tcW w:w="202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0.122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b/>
                <w:bCs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0.833</w:t>
            </w:r>
          </w:p>
        </w:tc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rPr>
                <w:rFonts w:hint="default" w:cs="Times New Roman" w:asciiTheme="minorAscii" w:hAnsiTheme="minorAsci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1"/>
                <w:szCs w:val="21"/>
                <w:lang w:val="en-US" w:eastAsia="zh-CN"/>
              </w:rPr>
              <w:t>0.045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  <w:lang w:val="en-US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</w:t>
            </w:r>
            <w:r>
              <w:rPr>
                <w:rFonts w:hint="eastAsia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8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rPr>
                <w:rFonts w:hint="default" w:cs="Times New Roman" w:asciiTheme="minorAscii" w:hAnsiTheme="minorAscii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0.664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CITC: Corrected item-total correlation. Cronbach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Alpha if Item Deleted refers to the internal consistency of the scale after removing the respective item.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Factor loadings were extracted using principal component analysis with varimax rotation. Bold values indicate the highest loading for each item.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A total of three factors with eigenvalues greater than 1 were extracted, accounting for 55.45% of the cumulative variance: Factor 1 explained 20.61% of the variance and was labeled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Positive Defensive Medicine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; Factor 2 explained 17.92% of the variance and was labeled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Negative Defensive Medicine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; Factor 3 explained 16.92% of the variance and was labeled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Defensive Reliance.</w:t>
      </w:r>
      <w:r>
        <w:rPr>
          <w:rFonts w:hint="default"/>
          <w:lang w:val="en-US" w:eastAsia="zh-CN"/>
        </w:rPr>
        <w:t>”</w:t>
      </w:r>
    </w:p>
    <w:sectPr>
      <w:pgSz w:w="16838" w:h="11906" w:orient="landscape"/>
      <w:pgMar w:top="1440" w:right="1689" w:bottom="1440" w:left="1689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ZjJlODg5NWRjY2M5OGMwODA2ZDI5YjMyN2FjN2UifQ=="/>
  </w:docVars>
  <w:rsids>
    <w:rsidRoot w:val="00172A27"/>
    <w:rsid w:val="1C5B4BDB"/>
    <w:rsid w:val="21BF12C3"/>
    <w:rsid w:val="2C87737E"/>
    <w:rsid w:val="2F236894"/>
    <w:rsid w:val="3DF87E55"/>
    <w:rsid w:val="3E6974F7"/>
    <w:rsid w:val="6D325F08"/>
    <w:rsid w:val="772F1899"/>
    <w:rsid w:val="7D22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295</Words>
  <Characters>1684</Characters>
  <Lines>0</Lines>
  <Paragraphs>0</Paragraphs>
  <TotalTime>83</TotalTime>
  <ScaleCrop>false</ScaleCrop>
  <LinksUpToDate>false</LinksUpToDate>
  <CharactersWithSpaces>1898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2025-09-30T10:46:00Z</dcterms:created>
  <dc:creator>青栀ぃ</dc:creator>
  <cp:lastModifiedBy>青栀ぃ</cp:lastModifiedBy>
  <dcterms:modified xsi:type="dcterms:W3CDTF">2025-10-02T18:24:24Z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B186F1DAD651484B8A95BF94E94F53F6_11</vt:lpwstr>
  </property>
</Properties>
</file>