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507C4">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both"/>
        <w:textAlignment w:val="auto"/>
        <w:rPr>
          <w:rFonts w:hint="eastAsia" w:ascii="Arial" w:hAnsi="Arial" w:cs="Arial" w:eastAsiaTheme="minorEastAsia"/>
          <w:sz w:val="32"/>
          <w:szCs w:val="40"/>
          <w:lang w:val="en-US" w:eastAsia="zh-CN"/>
        </w:rPr>
      </w:pPr>
      <w:r>
        <w:rPr>
          <w:rFonts w:hint="default" w:ascii="Arial" w:hAnsi="Arial" w:cs="Arial"/>
          <w:sz w:val="32"/>
          <w:szCs w:val="40"/>
        </w:rPr>
        <w:t xml:space="preserve">Questionnaire on </w:t>
      </w:r>
      <w:r>
        <w:rPr>
          <w:rFonts w:hint="default" w:ascii="Arial" w:hAnsi="Arial" w:cs="Arial"/>
          <w:sz w:val="32"/>
          <w:szCs w:val="40"/>
          <w:lang w:val="en-US" w:eastAsia="zh-CN"/>
        </w:rPr>
        <w:t>‘</w:t>
      </w:r>
      <w:r>
        <w:rPr>
          <w:rFonts w:hint="default" w:ascii="Arial" w:hAnsi="Arial" w:cs="Arial"/>
          <w:sz w:val="32"/>
          <w:szCs w:val="40"/>
        </w:rPr>
        <w:t>Competency Elements of Post-Graduation Education Model for Early-Career Physicians</w:t>
      </w:r>
      <w:r>
        <w:rPr>
          <w:rFonts w:hint="default" w:ascii="Arial" w:hAnsi="Arial" w:cs="Arial"/>
          <w:sz w:val="32"/>
          <w:szCs w:val="40"/>
          <w:lang w:val="en-US" w:eastAsia="zh-CN"/>
        </w:rPr>
        <w:t>’</w:t>
      </w:r>
    </w:p>
    <w:p w14:paraId="05970180">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both"/>
        <w:textAlignment w:val="auto"/>
        <w:rPr>
          <w:rFonts w:hint="eastAsia"/>
        </w:rPr>
      </w:pPr>
    </w:p>
    <w:p w14:paraId="7E58AC66">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both"/>
        <w:textAlignment w:val="auto"/>
        <w:rPr>
          <w:rFonts w:hint="default" w:ascii="Arial" w:hAnsi="Arial" w:cs="Arial"/>
          <w:b/>
          <w:bCs/>
          <w:sz w:val="22"/>
          <w:szCs w:val="28"/>
        </w:rPr>
      </w:pPr>
      <w:r>
        <w:rPr>
          <w:rFonts w:hint="default" w:ascii="Arial" w:hAnsi="Arial" w:cs="Arial"/>
          <w:b/>
          <w:bCs/>
          <w:sz w:val="22"/>
          <w:szCs w:val="28"/>
        </w:rPr>
        <w:t>Dear Participant,</w:t>
      </w:r>
    </w:p>
    <w:p w14:paraId="62DCB838">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default" w:ascii="Arial" w:hAnsi="Arial" w:cs="Arial"/>
          <w:b w:val="0"/>
          <w:bCs w:val="0"/>
          <w:sz w:val="22"/>
          <w:szCs w:val="28"/>
        </w:rPr>
      </w:pPr>
      <w:r>
        <w:rPr>
          <w:rFonts w:hint="default" w:ascii="Arial" w:hAnsi="Arial" w:cs="Arial"/>
          <w:b w:val="0"/>
          <w:bCs w:val="0"/>
          <w:sz w:val="22"/>
          <w:szCs w:val="28"/>
        </w:rPr>
        <w:t>You are invited to participate in a research study aimed at understanding the core competencies required in the post-graduation education of early-career physicians. Your participation will involve completing this anonymous questionnaire, which will take approximately 10-15 minutes. Your responses are entirely confidential and will be used solely for academic research purposes. Participation is voluntary, and you may withdraw at any time. By proceeding with the questionnaire, you indicate your informed consent to participate in this study.</w:t>
      </w:r>
    </w:p>
    <w:p w14:paraId="3DAD4BF8">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both"/>
        <w:textAlignment w:val="auto"/>
        <w:rPr>
          <w:rFonts w:hint="eastAsia"/>
        </w:rPr>
      </w:pPr>
    </w:p>
    <w:p w14:paraId="1BCA3F87">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2" w:firstLineChars="200"/>
        <w:jc w:val="both"/>
        <w:textAlignment w:val="auto"/>
        <w:rPr>
          <w:rFonts w:hint="eastAsia" w:ascii="Arial" w:hAnsi="Arial" w:cs="Arial"/>
          <w:b/>
          <w:bCs/>
          <w:i/>
          <w:iCs/>
          <w:sz w:val="22"/>
          <w:szCs w:val="28"/>
          <w:lang w:eastAsia="zh-CN"/>
        </w:rPr>
      </w:pPr>
      <w:r>
        <w:rPr>
          <w:rFonts w:hint="eastAsia" w:ascii="Arial" w:hAnsi="Arial" w:cs="Arial"/>
          <w:b/>
          <w:bCs/>
          <w:i/>
          <w:iCs/>
          <w:sz w:val="22"/>
          <w:szCs w:val="28"/>
        </w:rPr>
        <w:t>Thank you for your valuable contribution to medical education research</w:t>
      </w:r>
      <w:r>
        <w:rPr>
          <w:rFonts w:hint="eastAsia" w:ascii="Arial" w:hAnsi="Arial" w:cs="Arial"/>
          <w:b/>
          <w:bCs/>
          <w:i/>
          <w:iCs/>
          <w:sz w:val="22"/>
          <w:szCs w:val="28"/>
          <w:lang w:val="en-US" w:eastAsia="zh-CN"/>
        </w:rPr>
        <w:t>!</w:t>
      </w:r>
    </w:p>
    <w:p w14:paraId="1DFCF333">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rPr>
      </w:pPr>
    </w:p>
    <w:p w14:paraId="21ADE751">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黑体" w:hAnsi="黑体" w:eastAsia="黑体" w:cs="黑体"/>
          <w:b/>
          <w:bCs/>
          <w:sz w:val="24"/>
          <w:szCs w:val="32"/>
        </w:rPr>
      </w:pPr>
      <w:r>
        <w:rPr>
          <w:rFonts w:hint="eastAsia" w:ascii="黑体" w:hAnsi="黑体" w:eastAsia="黑体" w:cs="黑体"/>
          <w:b/>
          <w:bCs/>
          <w:sz w:val="24"/>
          <w:szCs w:val="32"/>
        </w:rPr>
        <w:t xml:space="preserve">Section </w:t>
      </w:r>
      <w:r>
        <w:rPr>
          <w:rFonts w:hint="eastAsia" w:ascii="黑体" w:hAnsi="黑体" w:eastAsia="黑体" w:cs="黑体"/>
          <w:b/>
          <w:bCs/>
          <w:sz w:val="24"/>
          <w:szCs w:val="32"/>
          <w:lang w:val="en-US" w:eastAsia="zh-CN"/>
        </w:rPr>
        <w:t>A</w:t>
      </w:r>
      <w:r>
        <w:rPr>
          <w:rFonts w:hint="eastAsia" w:ascii="黑体" w:hAnsi="黑体" w:eastAsia="黑体" w:cs="黑体"/>
          <w:b/>
          <w:bCs/>
          <w:sz w:val="24"/>
          <w:szCs w:val="32"/>
        </w:rPr>
        <w:t>: Demographic Information</w:t>
      </w:r>
    </w:p>
    <w:p w14:paraId="7781E0C1">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Arial" w:hAnsi="Arial" w:cs="Arial"/>
          <w:b w:val="0"/>
          <w:bCs w:val="0"/>
          <w:sz w:val="22"/>
          <w:szCs w:val="28"/>
        </w:rPr>
      </w:pPr>
      <w:r>
        <w:rPr>
          <w:rFonts w:hint="eastAsia" w:ascii="Arial" w:hAnsi="Arial" w:cs="Arial"/>
          <w:b w:val="0"/>
          <w:bCs w:val="0"/>
          <w:sz w:val="22"/>
          <w:szCs w:val="28"/>
        </w:rPr>
        <w:t>(Please fill in or select as appropriate)</w:t>
      </w:r>
    </w:p>
    <w:p w14:paraId="18A57A59">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p>
    <w:p w14:paraId="39795B1C">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r>
        <w:rPr>
          <w:rFonts w:hint="eastAsia" w:ascii="Arial" w:hAnsi="Arial" w:cs="Arial"/>
          <w:b w:val="0"/>
          <w:bCs w:val="0"/>
          <w:sz w:val="22"/>
          <w:szCs w:val="28"/>
        </w:rPr>
        <w:t>Gender: □ Male □ Female</w:t>
      </w:r>
    </w:p>
    <w:p w14:paraId="14D6F6BD">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r>
        <w:rPr>
          <w:rFonts w:hint="eastAsia" w:ascii="Arial" w:hAnsi="Arial" w:cs="Arial"/>
          <w:b w:val="0"/>
          <w:bCs w:val="0"/>
          <w:sz w:val="22"/>
          <w:szCs w:val="28"/>
        </w:rPr>
        <w:t>Age: ______</w:t>
      </w:r>
    </w:p>
    <w:p w14:paraId="15DC0A19">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r>
        <w:rPr>
          <w:rFonts w:hint="eastAsia" w:ascii="Arial" w:hAnsi="Arial" w:cs="Arial"/>
          <w:b w:val="0"/>
          <w:bCs w:val="0"/>
          <w:sz w:val="22"/>
          <w:szCs w:val="28"/>
        </w:rPr>
        <w:t>Specialty: ____________________</w:t>
      </w:r>
    </w:p>
    <w:p w14:paraId="7910AC00">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r>
        <w:rPr>
          <w:rFonts w:hint="eastAsia" w:ascii="Arial" w:hAnsi="Arial" w:cs="Arial"/>
          <w:b w:val="0"/>
          <w:bCs w:val="0"/>
          <w:sz w:val="22"/>
          <w:szCs w:val="28"/>
        </w:rPr>
        <w:t>Highest Degree Obtained: □ Bachelor's □ Master's □ Doctoral</w:t>
      </w:r>
    </w:p>
    <w:p w14:paraId="08ECD0F9">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r>
        <w:rPr>
          <w:rFonts w:hint="eastAsia" w:ascii="Arial" w:hAnsi="Arial" w:cs="Arial"/>
          <w:b w:val="0"/>
          <w:bCs w:val="0"/>
          <w:sz w:val="22"/>
          <w:szCs w:val="28"/>
        </w:rPr>
        <w:t>Professional Title: □ Resident Physician □ Attending Physician</w:t>
      </w:r>
    </w:p>
    <w:p w14:paraId="069386E6">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rPr>
          <w:rFonts w:hint="eastAsia" w:ascii="Arial" w:hAnsi="Arial" w:cs="Arial"/>
          <w:b w:val="0"/>
          <w:bCs w:val="0"/>
          <w:sz w:val="22"/>
          <w:szCs w:val="28"/>
        </w:rPr>
      </w:pPr>
      <w:r>
        <w:rPr>
          <w:rFonts w:hint="eastAsia" w:ascii="Arial" w:hAnsi="Arial" w:cs="Arial"/>
          <w:b w:val="0"/>
          <w:bCs w:val="0"/>
          <w:sz w:val="22"/>
          <w:szCs w:val="28"/>
        </w:rPr>
        <w:t>Years since graduation: ______ years</w:t>
      </w:r>
    </w:p>
    <w:p w14:paraId="01A06F5C">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both"/>
        <w:textAlignment w:val="auto"/>
        <w:rPr>
          <w:rFonts w:hint="eastAsia"/>
        </w:rPr>
      </w:pPr>
    </w:p>
    <w:p w14:paraId="45DB4E8E">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黑体" w:hAnsi="黑体" w:eastAsia="黑体" w:cs="黑体"/>
          <w:b/>
          <w:bCs/>
          <w:sz w:val="24"/>
          <w:szCs w:val="32"/>
        </w:rPr>
      </w:pPr>
    </w:p>
    <w:p w14:paraId="3C1E4986">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黑体" w:hAnsi="黑体" w:eastAsia="黑体" w:cs="黑体"/>
          <w:b/>
          <w:bCs/>
          <w:sz w:val="24"/>
          <w:szCs w:val="32"/>
        </w:rPr>
      </w:pPr>
    </w:p>
    <w:p w14:paraId="50472245">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黑体" w:hAnsi="黑体" w:eastAsia="黑体" w:cs="黑体"/>
          <w:b/>
          <w:bCs/>
          <w:sz w:val="24"/>
          <w:szCs w:val="32"/>
        </w:rPr>
      </w:pPr>
    </w:p>
    <w:p w14:paraId="1396B5DF">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黑体" w:hAnsi="黑体" w:eastAsia="黑体" w:cs="黑体"/>
          <w:b/>
          <w:bCs/>
          <w:sz w:val="24"/>
          <w:szCs w:val="32"/>
        </w:rPr>
      </w:pPr>
    </w:p>
    <w:p w14:paraId="73D7E47E">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center"/>
        <w:textAlignment w:val="auto"/>
        <w:rPr>
          <w:rFonts w:hint="eastAsia" w:ascii="黑体" w:hAnsi="黑体" w:eastAsia="黑体" w:cs="黑体"/>
          <w:b/>
          <w:bCs/>
          <w:sz w:val="24"/>
          <w:szCs w:val="32"/>
        </w:rPr>
      </w:pPr>
      <w:r>
        <w:rPr>
          <w:rFonts w:hint="eastAsia" w:ascii="黑体" w:hAnsi="黑体" w:eastAsia="黑体" w:cs="黑体"/>
          <w:b/>
          <w:bCs/>
          <w:sz w:val="24"/>
          <w:szCs w:val="32"/>
        </w:rPr>
        <w:t xml:space="preserve">Section </w:t>
      </w:r>
      <w:r>
        <w:rPr>
          <w:rFonts w:hint="eastAsia" w:ascii="黑体" w:hAnsi="黑体" w:eastAsia="黑体" w:cs="黑体"/>
          <w:b/>
          <w:bCs/>
          <w:sz w:val="24"/>
          <w:szCs w:val="32"/>
          <w:lang w:val="en-US" w:eastAsia="zh-CN"/>
        </w:rPr>
        <w:t>B</w:t>
      </w:r>
      <w:r>
        <w:rPr>
          <w:rFonts w:hint="eastAsia" w:ascii="黑体" w:hAnsi="黑体" w:eastAsia="黑体" w:cs="黑体"/>
          <w:b/>
          <w:bCs/>
          <w:sz w:val="24"/>
          <w:szCs w:val="32"/>
        </w:rPr>
        <w:t>: Competency Element Evaluation</w:t>
      </w:r>
    </w:p>
    <w:p w14:paraId="176ED2C4">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jc w:val="both"/>
        <w:textAlignment w:val="auto"/>
        <w:rPr>
          <w:rFonts w:hint="eastAsia"/>
        </w:rPr>
      </w:pPr>
    </w:p>
    <w:p w14:paraId="4AA57FF1">
      <w:pPr>
        <w:keepNext w:val="0"/>
        <w:keepLines w:val="0"/>
        <w:pageBreakBefore w:val="0"/>
        <w:widowControl/>
        <w:numPr>
          <w:ilvl w:val="0"/>
          <w:numId w:val="0"/>
        </w:numPr>
        <w:suppressLineNumbers w:val="0"/>
        <w:tabs>
          <w:tab w:val="left" w:pos="720"/>
        </w:tabs>
        <w:kinsoku/>
        <w:wordWrap/>
        <w:overflowPunct/>
        <w:topLinePunct w:val="0"/>
        <w:autoSpaceDE/>
        <w:autoSpaceDN/>
        <w:bidi w:val="0"/>
        <w:adjustRightInd/>
        <w:snapToGrid/>
        <w:spacing w:beforeAutospacing="0" w:after="0" w:afterAutospacing="0" w:line="480" w:lineRule="exact"/>
        <w:ind w:firstLine="440" w:firstLineChars="200"/>
        <w:jc w:val="both"/>
        <w:textAlignment w:val="auto"/>
      </w:pPr>
      <w:r>
        <w:rPr>
          <w:rFonts w:hint="eastAsia" w:ascii="Arial" w:hAnsi="Arial" w:cs="Arial"/>
          <w:b w:val="0"/>
          <w:bCs w:val="0"/>
          <w:sz w:val="22"/>
          <w:szCs w:val="28"/>
        </w:rPr>
        <w:t>Please indicate your agreement with the following statements regarding the importance of each competency for your professional development. Use the scale below:Strongly Disagree (1)</w:t>
      </w:r>
      <w:r>
        <w:rPr>
          <w:rFonts w:hint="eastAsia" w:ascii="Arial" w:hAnsi="Arial" w:cs="Arial"/>
          <w:b w:val="0"/>
          <w:bCs w:val="0"/>
          <w:sz w:val="22"/>
          <w:szCs w:val="28"/>
          <w:lang w:val="en-US" w:eastAsia="zh-CN"/>
        </w:rPr>
        <w:t>,</w:t>
      </w:r>
      <w:r>
        <w:rPr>
          <w:rFonts w:hint="eastAsia" w:ascii="Arial" w:hAnsi="Arial" w:cs="Arial"/>
          <w:b w:val="0"/>
          <w:bCs w:val="0"/>
          <w:sz w:val="22"/>
          <w:szCs w:val="28"/>
        </w:rPr>
        <w:t>Disagree (2)</w:t>
      </w:r>
      <w:r>
        <w:rPr>
          <w:rFonts w:hint="eastAsia" w:ascii="Arial" w:hAnsi="Arial" w:cs="Arial"/>
          <w:b w:val="0"/>
          <w:bCs w:val="0"/>
          <w:sz w:val="22"/>
          <w:szCs w:val="28"/>
          <w:lang w:val="en-US" w:eastAsia="zh-CN"/>
        </w:rPr>
        <w:t>,</w:t>
      </w:r>
      <w:r>
        <w:rPr>
          <w:rFonts w:hint="eastAsia" w:ascii="Arial" w:hAnsi="Arial" w:cs="Arial"/>
          <w:b w:val="0"/>
          <w:bCs w:val="0"/>
          <w:sz w:val="22"/>
          <w:szCs w:val="28"/>
        </w:rPr>
        <w:t>Neutral (3)</w:t>
      </w:r>
      <w:r>
        <w:rPr>
          <w:rFonts w:hint="eastAsia" w:ascii="Arial" w:hAnsi="Arial" w:cs="Arial"/>
          <w:b w:val="0"/>
          <w:bCs w:val="0"/>
          <w:sz w:val="22"/>
          <w:szCs w:val="28"/>
          <w:lang w:val="en-US" w:eastAsia="zh-CN"/>
        </w:rPr>
        <w:t>,</w:t>
      </w:r>
      <w:r>
        <w:rPr>
          <w:rFonts w:hint="eastAsia" w:ascii="Arial" w:hAnsi="Arial" w:cs="Arial"/>
          <w:b w:val="0"/>
          <w:bCs w:val="0"/>
          <w:sz w:val="22"/>
          <w:szCs w:val="28"/>
        </w:rPr>
        <w:t>Agree (4</w:t>
      </w:r>
      <w:r>
        <w:rPr>
          <w:rFonts w:hint="eastAsia" w:ascii="Arial" w:hAnsi="Arial" w:cs="Arial"/>
          <w:b w:val="0"/>
          <w:bCs w:val="0"/>
          <w:sz w:val="22"/>
          <w:szCs w:val="28"/>
          <w:lang w:val="en-US" w:eastAsia="zh-CN"/>
        </w:rPr>
        <w:t>,</w:t>
      </w:r>
      <w:bookmarkStart w:id="0" w:name="_GoBack"/>
      <w:bookmarkEnd w:id="0"/>
      <w:r>
        <w:rPr>
          <w:rFonts w:hint="eastAsia" w:ascii="Arial" w:hAnsi="Arial" w:cs="Arial"/>
          <w:b w:val="0"/>
          <w:bCs w:val="0"/>
          <w:sz w:val="22"/>
          <w:szCs w:val="28"/>
        </w:rPr>
        <w:t>Strongly Agree (5)</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477"/>
        <w:gridCol w:w="2141"/>
        <w:gridCol w:w="3426"/>
        <w:gridCol w:w="493"/>
        <w:gridCol w:w="493"/>
        <w:gridCol w:w="493"/>
        <w:gridCol w:w="493"/>
        <w:gridCol w:w="482"/>
      </w:tblGrid>
      <w:tr w14:paraId="73043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0" w:type="auto"/>
            <w:shd w:val="clear" w:color="auto" w:fill="auto"/>
            <w:tcMar>
              <w:top w:w="120" w:type="dxa"/>
              <w:left w:w="0" w:type="dxa"/>
              <w:bottom w:w="120" w:type="dxa"/>
              <w:right w:w="192" w:type="dxa"/>
            </w:tcMar>
            <w:vAlign w:val="center"/>
          </w:tcPr>
          <w:p w14:paraId="734A81F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ascii="Segoe UI" w:hAnsi="Segoe UI" w:eastAsia="Segoe UI" w:cs="Segoe UI"/>
                <w:sz w:val="18"/>
                <w:szCs w:val="18"/>
              </w:rPr>
            </w:pPr>
            <w:r>
              <w:rPr>
                <w:rFonts w:hint="default" w:ascii="Segoe UI" w:hAnsi="Segoe UI" w:eastAsia="Segoe UI" w:cs="Segoe UI"/>
                <w:kern w:val="0"/>
                <w:sz w:val="18"/>
                <w:szCs w:val="18"/>
                <w:lang w:val="en-US" w:eastAsia="zh-CN" w:bidi="ar"/>
              </w:rPr>
              <w:t>No.</w:t>
            </w:r>
          </w:p>
        </w:tc>
        <w:tc>
          <w:tcPr>
            <w:tcW w:w="0" w:type="auto"/>
            <w:shd w:val="clear" w:color="auto" w:fill="auto"/>
            <w:tcMar>
              <w:top w:w="120" w:type="dxa"/>
              <w:left w:w="192" w:type="dxa"/>
              <w:bottom w:w="120" w:type="dxa"/>
              <w:right w:w="192" w:type="dxa"/>
            </w:tcMar>
            <w:vAlign w:val="center"/>
          </w:tcPr>
          <w:p w14:paraId="1A5CC786">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Competency Element</w:t>
            </w:r>
          </w:p>
        </w:tc>
        <w:tc>
          <w:tcPr>
            <w:tcW w:w="0" w:type="auto"/>
            <w:shd w:val="clear" w:color="auto" w:fill="auto"/>
            <w:tcMar>
              <w:top w:w="120" w:type="dxa"/>
              <w:left w:w="192" w:type="dxa"/>
              <w:bottom w:w="120" w:type="dxa"/>
              <w:right w:w="192" w:type="dxa"/>
            </w:tcMar>
            <w:vAlign w:val="center"/>
          </w:tcPr>
          <w:p w14:paraId="69042A24">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Statement</w:t>
            </w:r>
          </w:p>
        </w:tc>
        <w:tc>
          <w:tcPr>
            <w:tcW w:w="0" w:type="auto"/>
            <w:shd w:val="clear" w:color="auto" w:fill="auto"/>
            <w:tcMar>
              <w:top w:w="120" w:type="dxa"/>
              <w:left w:w="192" w:type="dxa"/>
              <w:bottom w:w="120" w:type="dxa"/>
              <w:right w:w="192" w:type="dxa"/>
            </w:tcMar>
            <w:vAlign w:val="center"/>
          </w:tcPr>
          <w:p w14:paraId="70F30FB7">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w:t>
            </w:r>
          </w:p>
        </w:tc>
        <w:tc>
          <w:tcPr>
            <w:tcW w:w="0" w:type="auto"/>
            <w:shd w:val="clear" w:color="auto" w:fill="auto"/>
            <w:tcMar>
              <w:top w:w="120" w:type="dxa"/>
              <w:left w:w="192" w:type="dxa"/>
              <w:bottom w:w="120" w:type="dxa"/>
              <w:right w:w="192" w:type="dxa"/>
            </w:tcMar>
            <w:vAlign w:val="center"/>
          </w:tcPr>
          <w:p w14:paraId="7B399D7C">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w:t>
            </w:r>
          </w:p>
        </w:tc>
        <w:tc>
          <w:tcPr>
            <w:tcW w:w="0" w:type="auto"/>
            <w:shd w:val="clear" w:color="auto" w:fill="auto"/>
            <w:tcMar>
              <w:top w:w="120" w:type="dxa"/>
              <w:left w:w="192" w:type="dxa"/>
              <w:bottom w:w="120" w:type="dxa"/>
              <w:right w:w="192" w:type="dxa"/>
            </w:tcMar>
            <w:vAlign w:val="center"/>
          </w:tcPr>
          <w:p w14:paraId="677EC9B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3</w:t>
            </w:r>
          </w:p>
        </w:tc>
        <w:tc>
          <w:tcPr>
            <w:tcW w:w="0" w:type="auto"/>
            <w:shd w:val="clear" w:color="auto" w:fill="auto"/>
            <w:tcMar>
              <w:top w:w="120" w:type="dxa"/>
              <w:left w:w="192" w:type="dxa"/>
              <w:bottom w:w="120" w:type="dxa"/>
              <w:right w:w="192" w:type="dxa"/>
            </w:tcMar>
            <w:vAlign w:val="center"/>
          </w:tcPr>
          <w:p w14:paraId="6FCC70B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4</w:t>
            </w:r>
          </w:p>
        </w:tc>
        <w:tc>
          <w:tcPr>
            <w:tcW w:w="0" w:type="auto"/>
            <w:shd w:val="clear" w:color="auto" w:fill="auto"/>
            <w:tcMar>
              <w:top w:w="120" w:type="dxa"/>
              <w:left w:w="192" w:type="dxa"/>
              <w:bottom w:w="120" w:type="dxa"/>
              <w:right w:w="192" w:type="dxa"/>
            </w:tcMar>
            <w:vAlign w:val="center"/>
          </w:tcPr>
          <w:p w14:paraId="342120F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5</w:t>
            </w:r>
          </w:p>
        </w:tc>
      </w:tr>
      <w:tr w14:paraId="6289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614201C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w:t>
            </w:r>
          </w:p>
        </w:tc>
        <w:tc>
          <w:tcPr>
            <w:tcW w:w="0" w:type="auto"/>
            <w:shd w:val="clear" w:color="auto" w:fill="auto"/>
            <w:tcMar>
              <w:top w:w="120" w:type="dxa"/>
              <w:left w:w="192" w:type="dxa"/>
              <w:bottom w:w="120" w:type="dxa"/>
              <w:right w:w="192" w:type="dxa"/>
            </w:tcMar>
            <w:vAlign w:val="center"/>
          </w:tcPr>
          <w:p w14:paraId="0D8BD12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Professional and technical skill</w:t>
            </w:r>
          </w:p>
        </w:tc>
        <w:tc>
          <w:tcPr>
            <w:tcW w:w="3426" w:type="dxa"/>
            <w:shd w:val="clear" w:color="auto" w:fill="auto"/>
            <w:tcMar>
              <w:top w:w="120" w:type="dxa"/>
              <w:left w:w="192" w:type="dxa"/>
              <w:bottom w:w="120" w:type="dxa"/>
              <w:right w:w="192" w:type="dxa"/>
            </w:tcMar>
            <w:vAlign w:val="center"/>
          </w:tcPr>
          <w:p w14:paraId="3ADC75B4">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Mastering advanced clinical knowledge and surgical procedures is a fundamental requirement.</w:t>
            </w:r>
          </w:p>
        </w:tc>
        <w:tc>
          <w:tcPr>
            <w:tcW w:w="0" w:type="auto"/>
            <w:shd w:val="clear" w:color="auto" w:fill="auto"/>
            <w:tcMar>
              <w:top w:w="120" w:type="dxa"/>
              <w:left w:w="192" w:type="dxa"/>
              <w:bottom w:w="120" w:type="dxa"/>
              <w:right w:w="192" w:type="dxa"/>
            </w:tcMar>
            <w:vAlign w:val="center"/>
          </w:tcPr>
          <w:p w14:paraId="1FBE50D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52376A4">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2669DD7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25CFD66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1B1B92E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57D5E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127AAE71">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w:t>
            </w:r>
          </w:p>
        </w:tc>
        <w:tc>
          <w:tcPr>
            <w:tcW w:w="0" w:type="auto"/>
            <w:shd w:val="clear" w:color="auto" w:fill="auto"/>
            <w:tcMar>
              <w:top w:w="120" w:type="dxa"/>
              <w:left w:w="192" w:type="dxa"/>
              <w:bottom w:w="120" w:type="dxa"/>
              <w:right w:w="192" w:type="dxa"/>
            </w:tcMar>
            <w:vAlign w:val="center"/>
          </w:tcPr>
          <w:p w14:paraId="2A8DCE7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Foreign language ability</w:t>
            </w:r>
          </w:p>
        </w:tc>
        <w:tc>
          <w:tcPr>
            <w:tcW w:w="3426" w:type="dxa"/>
            <w:shd w:val="clear" w:color="auto" w:fill="auto"/>
            <w:tcMar>
              <w:top w:w="120" w:type="dxa"/>
              <w:left w:w="192" w:type="dxa"/>
              <w:bottom w:w="120" w:type="dxa"/>
              <w:right w:w="192" w:type="dxa"/>
            </w:tcMar>
            <w:vAlign w:val="center"/>
          </w:tcPr>
          <w:p w14:paraId="2685288A">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Proficiency in a foreign language (e.g., for accessing international literature) is important.</w:t>
            </w:r>
          </w:p>
        </w:tc>
        <w:tc>
          <w:tcPr>
            <w:tcW w:w="0" w:type="auto"/>
            <w:shd w:val="clear" w:color="auto" w:fill="auto"/>
            <w:tcMar>
              <w:top w:w="120" w:type="dxa"/>
              <w:left w:w="192" w:type="dxa"/>
              <w:bottom w:w="120" w:type="dxa"/>
              <w:right w:w="192" w:type="dxa"/>
            </w:tcMar>
            <w:vAlign w:val="center"/>
          </w:tcPr>
          <w:p w14:paraId="34995A8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017EBAD6">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375A091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2647B1B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585BF77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0E43A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53D43F76">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3</w:t>
            </w:r>
          </w:p>
        </w:tc>
        <w:tc>
          <w:tcPr>
            <w:tcW w:w="0" w:type="auto"/>
            <w:shd w:val="clear" w:color="auto" w:fill="auto"/>
            <w:tcMar>
              <w:top w:w="120" w:type="dxa"/>
              <w:left w:w="192" w:type="dxa"/>
              <w:bottom w:w="120" w:type="dxa"/>
              <w:right w:w="192" w:type="dxa"/>
            </w:tcMar>
            <w:vAlign w:val="center"/>
          </w:tcPr>
          <w:p w14:paraId="3A229871">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Academic qualifications enhance competence</w:t>
            </w:r>
          </w:p>
        </w:tc>
        <w:tc>
          <w:tcPr>
            <w:tcW w:w="3426" w:type="dxa"/>
            <w:shd w:val="clear" w:color="auto" w:fill="auto"/>
            <w:tcMar>
              <w:top w:w="120" w:type="dxa"/>
              <w:left w:w="192" w:type="dxa"/>
              <w:bottom w:w="120" w:type="dxa"/>
              <w:right w:w="192" w:type="dxa"/>
            </w:tcMar>
            <w:vAlign w:val="center"/>
          </w:tcPr>
          <w:p w14:paraId="7DD0EEA4">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Pursuing higher academic degrees is crucial for long-term career advancement.</w:t>
            </w:r>
          </w:p>
        </w:tc>
        <w:tc>
          <w:tcPr>
            <w:tcW w:w="0" w:type="auto"/>
            <w:shd w:val="clear" w:color="auto" w:fill="auto"/>
            <w:tcMar>
              <w:top w:w="120" w:type="dxa"/>
              <w:left w:w="192" w:type="dxa"/>
              <w:bottom w:w="120" w:type="dxa"/>
              <w:right w:w="192" w:type="dxa"/>
            </w:tcMar>
            <w:vAlign w:val="center"/>
          </w:tcPr>
          <w:p w14:paraId="1D8364C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3F5BF70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D1B80EB">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4435B06C">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763CE47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28FFC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90" w:hRule="atLeast"/>
        </w:trPr>
        <w:tc>
          <w:tcPr>
            <w:tcW w:w="0" w:type="auto"/>
            <w:shd w:val="clear" w:color="auto" w:fill="auto"/>
            <w:tcMar>
              <w:top w:w="120" w:type="dxa"/>
              <w:left w:w="0" w:type="dxa"/>
              <w:bottom w:w="120" w:type="dxa"/>
              <w:right w:w="192" w:type="dxa"/>
            </w:tcMar>
            <w:vAlign w:val="center"/>
          </w:tcPr>
          <w:p w14:paraId="6419CED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4</w:t>
            </w:r>
          </w:p>
        </w:tc>
        <w:tc>
          <w:tcPr>
            <w:tcW w:w="0" w:type="auto"/>
            <w:shd w:val="clear" w:color="auto" w:fill="auto"/>
            <w:tcMar>
              <w:top w:w="120" w:type="dxa"/>
              <w:left w:w="192" w:type="dxa"/>
              <w:bottom w:w="120" w:type="dxa"/>
              <w:right w:w="192" w:type="dxa"/>
            </w:tcMar>
            <w:vAlign w:val="center"/>
          </w:tcPr>
          <w:p w14:paraId="5711914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Ability to maintain health status</w:t>
            </w:r>
          </w:p>
        </w:tc>
        <w:tc>
          <w:tcPr>
            <w:tcW w:w="3426" w:type="dxa"/>
            <w:shd w:val="clear" w:color="auto" w:fill="auto"/>
            <w:tcMar>
              <w:top w:w="120" w:type="dxa"/>
              <w:left w:w="192" w:type="dxa"/>
              <w:bottom w:w="120" w:type="dxa"/>
              <w:right w:w="192" w:type="dxa"/>
            </w:tcMar>
            <w:vAlign w:val="center"/>
          </w:tcPr>
          <w:p w14:paraId="5CFA5333">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Maintaining one's own physical and mental health is a prerequisite for effective clinical performance.</w:t>
            </w:r>
          </w:p>
        </w:tc>
        <w:tc>
          <w:tcPr>
            <w:tcW w:w="0" w:type="auto"/>
            <w:shd w:val="clear" w:color="auto" w:fill="auto"/>
            <w:tcMar>
              <w:top w:w="120" w:type="dxa"/>
              <w:left w:w="192" w:type="dxa"/>
              <w:bottom w:w="120" w:type="dxa"/>
              <w:right w:w="192" w:type="dxa"/>
            </w:tcMar>
            <w:vAlign w:val="center"/>
          </w:tcPr>
          <w:p w14:paraId="1AC09466">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4F970127">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5924AF5">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038D7A3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37E6F8E6">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59C93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33006C51">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5</w:t>
            </w:r>
          </w:p>
        </w:tc>
        <w:tc>
          <w:tcPr>
            <w:tcW w:w="0" w:type="auto"/>
            <w:shd w:val="clear" w:color="auto" w:fill="auto"/>
            <w:tcMar>
              <w:top w:w="120" w:type="dxa"/>
              <w:left w:w="192" w:type="dxa"/>
              <w:bottom w:w="120" w:type="dxa"/>
              <w:right w:w="192" w:type="dxa"/>
            </w:tcMar>
            <w:vAlign w:val="center"/>
          </w:tcPr>
          <w:p w14:paraId="416A78A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Organisational and coordination skill</w:t>
            </w:r>
          </w:p>
        </w:tc>
        <w:tc>
          <w:tcPr>
            <w:tcW w:w="3426" w:type="dxa"/>
            <w:shd w:val="clear" w:color="auto" w:fill="auto"/>
            <w:tcMar>
              <w:top w:w="120" w:type="dxa"/>
              <w:left w:w="192" w:type="dxa"/>
              <w:bottom w:w="120" w:type="dxa"/>
              <w:right w:w="192" w:type="dxa"/>
            </w:tcMar>
            <w:vAlign w:val="center"/>
          </w:tcPr>
          <w:p w14:paraId="65DF3865">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A physician should be able to manage and coordinate complex clinical tasks efficiently.</w:t>
            </w:r>
          </w:p>
        </w:tc>
        <w:tc>
          <w:tcPr>
            <w:tcW w:w="0" w:type="auto"/>
            <w:shd w:val="clear" w:color="auto" w:fill="auto"/>
            <w:tcMar>
              <w:top w:w="120" w:type="dxa"/>
              <w:left w:w="192" w:type="dxa"/>
              <w:bottom w:w="120" w:type="dxa"/>
              <w:right w:w="192" w:type="dxa"/>
            </w:tcMar>
            <w:vAlign w:val="center"/>
          </w:tcPr>
          <w:p w14:paraId="42E7C65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01F32F36">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CAF223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EF6F91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4FE73A01">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4555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38" w:hRule="atLeast"/>
        </w:trPr>
        <w:tc>
          <w:tcPr>
            <w:tcW w:w="0" w:type="auto"/>
            <w:shd w:val="clear" w:color="auto" w:fill="auto"/>
            <w:tcMar>
              <w:top w:w="120" w:type="dxa"/>
              <w:left w:w="0" w:type="dxa"/>
              <w:bottom w:w="120" w:type="dxa"/>
              <w:right w:w="192" w:type="dxa"/>
            </w:tcMar>
            <w:vAlign w:val="center"/>
          </w:tcPr>
          <w:p w14:paraId="70A2F445">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6</w:t>
            </w:r>
          </w:p>
        </w:tc>
        <w:tc>
          <w:tcPr>
            <w:tcW w:w="0" w:type="auto"/>
            <w:shd w:val="clear" w:color="auto" w:fill="auto"/>
            <w:tcMar>
              <w:top w:w="120" w:type="dxa"/>
              <w:left w:w="192" w:type="dxa"/>
              <w:bottom w:w="120" w:type="dxa"/>
              <w:right w:w="192" w:type="dxa"/>
            </w:tcMar>
            <w:vAlign w:val="center"/>
          </w:tcPr>
          <w:p w14:paraId="01F1CCD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Interpersonal skill</w:t>
            </w:r>
          </w:p>
        </w:tc>
        <w:tc>
          <w:tcPr>
            <w:tcW w:w="3426" w:type="dxa"/>
            <w:shd w:val="clear" w:color="auto" w:fill="auto"/>
            <w:tcMar>
              <w:top w:w="120" w:type="dxa"/>
              <w:left w:w="192" w:type="dxa"/>
              <w:bottom w:w="120" w:type="dxa"/>
              <w:right w:w="192" w:type="dxa"/>
            </w:tcMar>
            <w:vAlign w:val="center"/>
          </w:tcPr>
          <w:p w14:paraId="0190C63D">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Building and maintaining positive relationships with colleagues and patients is essential.</w:t>
            </w:r>
          </w:p>
        </w:tc>
        <w:tc>
          <w:tcPr>
            <w:tcW w:w="0" w:type="auto"/>
            <w:shd w:val="clear" w:color="auto" w:fill="auto"/>
            <w:tcMar>
              <w:top w:w="120" w:type="dxa"/>
              <w:left w:w="192" w:type="dxa"/>
              <w:bottom w:w="120" w:type="dxa"/>
              <w:right w:w="192" w:type="dxa"/>
            </w:tcMar>
            <w:vAlign w:val="center"/>
          </w:tcPr>
          <w:p w14:paraId="56E47A1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E7CB49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2C3EBD6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33D3DF0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16D76CB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1882F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7A66ED3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7</w:t>
            </w:r>
          </w:p>
        </w:tc>
        <w:tc>
          <w:tcPr>
            <w:tcW w:w="0" w:type="auto"/>
            <w:shd w:val="clear" w:color="auto" w:fill="auto"/>
            <w:tcMar>
              <w:top w:w="120" w:type="dxa"/>
              <w:left w:w="192" w:type="dxa"/>
              <w:bottom w:w="120" w:type="dxa"/>
              <w:right w:w="192" w:type="dxa"/>
            </w:tcMar>
            <w:vAlign w:val="center"/>
          </w:tcPr>
          <w:p w14:paraId="38B3532C">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Teamwork skill</w:t>
            </w:r>
          </w:p>
        </w:tc>
        <w:tc>
          <w:tcPr>
            <w:tcW w:w="3426" w:type="dxa"/>
            <w:shd w:val="clear" w:color="auto" w:fill="auto"/>
            <w:tcMar>
              <w:top w:w="120" w:type="dxa"/>
              <w:left w:w="192" w:type="dxa"/>
              <w:bottom w:w="120" w:type="dxa"/>
              <w:right w:w="192" w:type="dxa"/>
            </w:tcMar>
            <w:vAlign w:val="center"/>
          </w:tcPr>
          <w:p w14:paraId="5CEE8F7E">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Collaborating effectively in a multidisciplinary team is a core part of clinical work.</w:t>
            </w:r>
          </w:p>
        </w:tc>
        <w:tc>
          <w:tcPr>
            <w:tcW w:w="0" w:type="auto"/>
            <w:shd w:val="clear" w:color="auto" w:fill="auto"/>
            <w:tcMar>
              <w:top w:w="120" w:type="dxa"/>
              <w:left w:w="192" w:type="dxa"/>
              <w:bottom w:w="120" w:type="dxa"/>
              <w:right w:w="192" w:type="dxa"/>
            </w:tcMar>
            <w:vAlign w:val="center"/>
          </w:tcPr>
          <w:p w14:paraId="4A965385">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3444CFB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C38B60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7FAE63D1">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3EEA090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5246F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65E8872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8</w:t>
            </w:r>
          </w:p>
        </w:tc>
        <w:tc>
          <w:tcPr>
            <w:tcW w:w="0" w:type="auto"/>
            <w:shd w:val="clear" w:color="auto" w:fill="auto"/>
            <w:tcMar>
              <w:top w:w="120" w:type="dxa"/>
              <w:left w:w="192" w:type="dxa"/>
              <w:bottom w:w="120" w:type="dxa"/>
              <w:right w:w="192" w:type="dxa"/>
            </w:tcMar>
            <w:vAlign w:val="center"/>
          </w:tcPr>
          <w:p w14:paraId="64CFE92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Emotional intelligence</w:t>
            </w:r>
          </w:p>
        </w:tc>
        <w:tc>
          <w:tcPr>
            <w:tcW w:w="3426" w:type="dxa"/>
            <w:shd w:val="clear" w:color="auto" w:fill="auto"/>
            <w:tcMar>
              <w:top w:w="120" w:type="dxa"/>
              <w:left w:w="192" w:type="dxa"/>
              <w:bottom w:w="120" w:type="dxa"/>
              <w:right w:w="192" w:type="dxa"/>
            </w:tcMar>
            <w:vAlign w:val="center"/>
          </w:tcPr>
          <w:p w14:paraId="6E49F52B">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The ability to perceive and understand the emotions of patients and team members is vital.</w:t>
            </w:r>
          </w:p>
        </w:tc>
        <w:tc>
          <w:tcPr>
            <w:tcW w:w="0" w:type="auto"/>
            <w:shd w:val="clear" w:color="auto" w:fill="auto"/>
            <w:tcMar>
              <w:top w:w="120" w:type="dxa"/>
              <w:left w:w="192" w:type="dxa"/>
              <w:bottom w:w="120" w:type="dxa"/>
              <w:right w:w="192" w:type="dxa"/>
            </w:tcMar>
            <w:vAlign w:val="center"/>
          </w:tcPr>
          <w:p w14:paraId="569F569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03348DD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7BC1875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37EB3C4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7D47FC4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0E15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66F1B3C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9</w:t>
            </w:r>
          </w:p>
        </w:tc>
        <w:tc>
          <w:tcPr>
            <w:tcW w:w="0" w:type="auto"/>
            <w:shd w:val="clear" w:color="auto" w:fill="auto"/>
            <w:tcMar>
              <w:top w:w="120" w:type="dxa"/>
              <w:left w:w="192" w:type="dxa"/>
              <w:bottom w:w="120" w:type="dxa"/>
              <w:right w:w="192" w:type="dxa"/>
            </w:tcMar>
            <w:vAlign w:val="center"/>
          </w:tcPr>
          <w:p w14:paraId="7FCFAF2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Adaptability</w:t>
            </w:r>
          </w:p>
        </w:tc>
        <w:tc>
          <w:tcPr>
            <w:tcW w:w="3426" w:type="dxa"/>
            <w:shd w:val="clear" w:color="auto" w:fill="auto"/>
            <w:tcMar>
              <w:top w:w="120" w:type="dxa"/>
              <w:left w:w="192" w:type="dxa"/>
              <w:bottom w:w="120" w:type="dxa"/>
              <w:right w:w="192" w:type="dxa"/>
            </w:tcMar>
            <w:vAlign w:val="center"/>
          </w:tcPr>
          <w:p w14:paraId="6F7082E2">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A physician must be able to adapt quickly to changes in the clinical environment.</w:t>
            </w:r>
          </w:p>
        </w:tc>
        <w:tc>
          <w:tcPr>
            <w:tcW w:w="0" w:type="auto"/>
            <w:shd w:val="clear" w:color="auto" w:fill="auto"/>
            <w:tcMar>
              <w:top w:w="120" w:type="dxa"/>
              <w:left w:w="192" w:type="dxa"/>
              <w:bottom w:w="120" w:type="dxa"/>
              <w:right w:w="192" w:type="dxa"/>
            </w:tcMar>
            <w:vAlign w:val="center"/>
          </w:tcPr>
          <w:p w14:paraId="415B06F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6655601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7289BF6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F02205C">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48C35EE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25593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76BEA2D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10</w:t>
            </w:r>
          </w:p>
        </w:tc>
        <w:tc>
          <w:tcPr>
            <w:tcW w:w="0" w:type="auto"/>
            <w:shd w:val="clear" w:color="auto" w:fill="auto"/>
            <w:tcMar>
              <w:top w:w="120" w:type="dxa"/>
              <w:left w:w="192" w:type="dxa"/>
              <w:bottom w:w="120" w:type="dxa"/>
              <w:right w:w="192" w:type="dxa"/>
            </w:tcMar>
            <w:vAlign w:val="center"/>
          </w:tcPr>
          <w:p w14:paraId="1648ECE4">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Public health capacity</w:t>
            </w:r>
          </w:p>
        </w:tc>
        <w:tc>
          <w:tcPr>
            <w:tcW w:w="3426" w:type="dxa"/>
            <w:shd w:val="clear" w:color="auto" w:fill="auto"/>
            <w:tcMar>
              <w:top w:w="120" w:type="dxa"/>
              <w:left w:w="192" w:type="dxa"/>
              <w:bottom w:w="120" w:type="dxa"/>
              <w:right w:w="192" w:type="dxa"/>
            </w:tcMar>
            <w:vAlign w:val="center"/>
          </w:tcPr>
          <w:p w14:paraId="3ACE113C">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Understanding and contributing to population-level disease prevention and health promotion is important.</w:t>
            </w:r>
          </w:p>
        </w:tc>
        <w:tc>
          <w:tcPr>
            <w:tcW w:w="0" w:type="auto"/>
            <w:shd w:val="clear" w:color="auto" w:fill="auto"/>
            <w:tcMar>
              <w:top w:w="120" w:type="dxa"/>
              <w:left w:w="192" w:type="dxa"/>
              <w:bottom w:w="120" w:type="dxa"/>
              <w:right w:w="192" w:type="dxa"/>
            </w:tcMar>
            <w:vAlign w:val="center"/>
          </w:tcPr>
          <w:p w14:paraId="45BEB08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2AAFE30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047761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EA5B1A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37A5723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5C23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17AE4117">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11</w:t>
            </w:r>
          </w:p>
        </w:tc>
        <w:tc>
          <w:tcPr>
            <w:tcW w:w="0" w:type="auto"/>
            <w:shd w:val="clear" w:color="auto" w:fill="auto"/>
            <w:tcMar>
              <w:top w:w="120" w:type="dxa"/>
              <w:left w:w="192" w:type="dxa"/>
              <w:bottom w:w="120" w:type="dxa"/>
              <w:right w:w="192" w:type="dxa"/>
            </w:tcMar>
            <w:vAlign w:val="center"/>
          </w:tcPr>
          <w:p w14:paraId="768AEA5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Basic/clinical laboratory research capacity</w:t>
            </w:r>
          </w:p>
        </w:tc>
        <w:tc>
          <w:tcPr>
            <w:tcW w:w="3426" w:type="dxa"/>
            <w:shd w:val="clear" w:color="auto" w:fill="auto"/>
            <w:tcMar>
              <w:top w:w="120" w:type="dxa"/>
              <w:left w:w="192" w:type="dxa"/>
              <w:bottom w:w="120" w:type="dxa"/>
              <w:right w:w="192" w:type="dxa"/>
            </w:tcMar>
            <w:vAlign w:val="center"/>
          </w:tcPr>
          <w:p w14:paraId="39BA7E0A">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Conducting clinical or laboratory research is a valuable skill for a physician.</w:t>
            </w:r>
          </w:p>
        </w:tc>
        <w:tc>
          <w:tcPr>
            <w:tcW w:w="0" w:type="auto"/>
            <w:shd w:val="clear" w:color="auto" w:fill="auto"/>
            <w:tcMar>
              <w:top w:w="120" w:type="dxa"/>
              <w:left w:w="192" w:type="dxa"/>
              <w:bottom w:w="120" w:type="dxa"/>
              <w:right w:w="192" w:type="dxa"/>
            </w:tcMar>
            <w:vAlign w:val="center"/>
          </w:tcPr>
          <w:p w14:paraId="45355197">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AA9608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A63283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482F9EE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76F4CB6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255F6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4DF7E3B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12</w:t>
            </w:r>
          </w:p>
        </w:tc>
        <w:tc>
          <w:tcPr>
            <w:tcW w:w="0" w:type="auto"/>
            <w:shd w:val="clear" w:color="auto" w:fill="auto"/>
            <w:tcMar>
              <w:top w:w="120" w:type="dxa"/>
              <w:left w:w="192" w:type="dxa"/>
              <w:bottom w:w="120" w:type="dxa"/>
              <w:right w:w="192" w:type="dxa"/>
            </w:tcMar>
            <w:vAlign w:val="center"/>
          </w:tcPr>
          <w:p w14:paraId="2E2EF6A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Teaching ability</w:t>
            </w:r>
          </w:p>
        </w:tc>
        <w:tc>
          <w:tcPr>
            <w:tcW w:w="3426" w:type="dxa"/>
            <w:shd w:val="clear" w:color="auto" w:fill="auto"/>
            <w:tcMar>
              <w:top w:w="120" w:type="dxa"/>
              <w:left w:w="192" w:type="dxa"/>
              <w:bottom w:w="120" w:type="dxa"/>
              <w:right w:w="192" w:type="dxa"/>
            </w:tcMar>
            <w:vAlign w:val="center"/>
          </w:tcPr>
          <w:p w14:paraId="6C4BEB07">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The capability to teach and mentor medical students or junior colleagues is a key competency.</w:t>
            </w:r>
          </w:p>
        </w:tc>
        <w:tc>
          <w:tcPr>
            <w:tcW w:w="0" w:type="auto"/>
            <w:shd w:val="clear" w:color="auto" w:fill="auto"/>
            <w:tcMar>
              <w:top w:w="120" w:type="dxa"/>
              <w:left w:w="192" w:type="dxa"/>
              <w:bottom w:w="120" w:type="dxa"/>
              <w:right w:w="192" w:type="dxa"/>
            </w:tcMar>
            <w:vAlign w:val="center"/>
          </w:tcPr>
          <w:p w14:paraId="08649A77">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D13818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7DEB72C4">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12FC623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6D9BA88C">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4B13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4F6EF424">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13</w:t>
            </w:r>
          </w:p>
        </w:tc>
        <w:tc>
          <w:tcPr>
            <w:tcW w:w="0" w:type="auto"/>
            <w:shd w:val="clear" w:color="auto" w:fill="auto"/>
            <w:tcMar>
              <w:top w:w="120" w:type="dxa"/>
              <w:left w:w="192" w:type="dxa"/>
              <w:bottom w:w="120" w:type="dxa"/>
              <w:right w:w="192" w:type="dxa"/>
            </w:tcMar>
            <w:vAlign w:val="center"/>
          </w:tcPr>
          <w:p w14:paraId="3B216178">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Research Translation Ability</w:t>
            </w:r>
          </w:p>
        </w:tc>
        <w:tc>
          <w:tcPr>
            <w:tcW w:w="3426" w:type="dxa"/>
            <w:shd w:val="clear" w:color="auto" w:fill="auto"/>
            <w:tcMar>
              <w:top w:w="120" w:type="dxa"/>
              <w:left w:w="192" w:type="dxa"/>
              <w:bottom w:w="120" w:type="dxa"/>
              <w:right w:w="192" w:type="dxa"/>
            </w:tcMar>
            <w:vAlign w:val="center"/>
          </w:tcPr>
          <w:p w14:paraId="126D525B">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The ability to apply research findings to improve clinical practice is critical.</w:t>
            </w:r>
          </w:p>
        </w:tc>
        <w:tc>
          <w:tcPr>
            <w:tcW w:w="0" w:type="auto"/>
            <w:shd w:val="clear" w:color="auto" w:fill="auto"/>
            <w:tcMar>
              <w:top w:w="120" w:type="dxa"/>
              <w:left w:w="192" w:type="dxa"/>
              <w:bottom w:w="120" w:type="dxa"/>
              <w:right w:w="192" w:type="dxa"/>
            </w:tcMar>
            <w:vAlign w:val="center"/>
          </w:tcPr>
          <w:p w14:paraId="2484699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461DB45B">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7A7CF031">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611B8113">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3BD9C145">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4B16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714BE3DC">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14</w:t>
            </w:r>
          </w:p>
        </w:tc>
        <w:tc>
          <w:tcPr>
            <w:tcW w:w="0" w:type="auto"/>
            <w:shd w:val="clear" w:color="auto" w:fill="auto"/>
            <w:tcMar>
              <w:top w:w="120" w:type="dxa"/>
              <w:left w:w="192" w:type="dxa"/>
              <w:bottom w:w="120" w:type="dxa"/>
              <w:right w:w="192" w:type="dxa"/>
            </w:tcMar>
            <w:vAlign w:val="center"/>
          </w:tcPr>
          <w:p w14:paraId="79F8F32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Career planning skills</w:t>
            </w:r>
          </w:p>
        </w:tc>
        <w:tc>
          <w:tcPr>
            <w:tcW w:w="3426" w:type="dxa"/>
            <w:shd w:val="clear" w:color="auto" w:fill="auto"/>
            <w:tcMar>
              <w:top w:w="120" w:type="dxa"/>
              <w:left w:w="192" w:type="dxa"/>
              <w:bottom w:w="120" w:type="dxa"/>
              <w:right w:w="192" w:type="dxa"/>
            </w:tcMar>
            <w:vAlign w:val="center"/>
          </w:tcPr>
          <w:p w14:paraId="24B220B8">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A physician should have a clear plan for their own long-term professional development.</w:t>
            </w:r>
          </w:p>
        </w:tc>
        <w:tc>
          <w:tcPr>
            <w:tcW w:w="0" w:type="auto"/>
            <w:shd w:val="clear" w:color="auto" w:fill="auto"/>
            <w:tcMar>
              <w:top w:w="120" w:type="dxa"/>
              <w:left w:w="192" w:type="dxa"/>
              <w:bottom w:w="120" w:type="dxa"/>
              <w:right w:w="192" w:type="dxa"/>
            </w:tcMar>
            <w:vAlign w:val="center"/>
          </w:tcPr>
          <w:p w14:paraId="78A4899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6E7EE485">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542ABA5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35EA794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67910894">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344F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22DCB99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15</w:t>
            </w:r>
          </w:p>
        </w:tc>
        <w:tc>
          <w:tcPr>
            <w:tcW w:w="0" w:type="auto"/>
            <w:shd w:val="clear" w:color="auto" w:fill="auto"/>
            <w:tcMar>
              <w:top w:w="120" w:type="dxa"/>
              <w:left w:w="192" w:type="dxa"/>
              <w:bottom w:w="120" w:type="dxa"/>
              <w:right w:w="192" w:type="dxa"/>
            </w:tcMar>
            <w:vAlign w:val="center"/>
          </w:tcPr>
          <w:p w14:paraId="5FF7BC3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Innovation capacity</w:t>
            </w:r>
          </w:p>
        </w:tc>
        <w:tc>
          <w:tcPr>
            <w:tcW w:w="3426" w:type="dxa"/>
            <w:shd w:val="clear" w:color="auto" w:fill="auto"/>
            <w:tcMar>
              <w:top w:w="120" w:type="dxa"/>
              <w:left w:w="192" w:type="dxa"/>
              <w:bottom w:w="120" w:type="dxa"/>
              <w:right w:w="192" w:type="dxa"/>
            </w:tcMar>
            <w:vAlign w:val="center"/>
          </w:tcPr>
          <w:p w14:paraId="35A513BC">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Generating and implementing new ideas to improve clinical workflows or patient care is necessary.</w:t>
            </w:r>
          </w:p>
        </w:tc>
        <w:tc>
          <w:tcPr>
            <w:tcW w:w="0" w:type="auto"/>
            <w:shd w:val="clear" w:color="auto" w:fill="auto"/>
            <w:tcMar>
              <w:top w:w="120" w:type="dxa"/>
              <w:left w:w="192" w:type="dxa"/>
              <w:bottom w:w="120" w:type="dxa"/>
              <w:right w:w="192" w:type="dxa"/>
            </w:tcMar>
            <w:vAlign w:val="center"/>
          </w:tcPr>
          <w:p w14:paraId="7DF811C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0CA2EAED">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6DF702E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6AC5FCBA">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0" w:type="dxa"/>
            </w:tcMar>
            <w:vAlign w:val="center"/>
          </w:tcPr>
          <w:p w14:paraId="6B00355B">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r>
      <w:tr w14:paraId="053C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14:paraId="76E0389E">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center"/>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16</w:t>
            </w:r>
          </w:p>
        </w:tc>
        <w:tc>
          <w:tcPr>
            <w:tcW w:w="0" w:type="auto"/>
            <w:shd w:val="clear" w:color="auto" w:fill="auto"/>
            <w:tcMar>
              <w:top w:w="120" w:type="dxa"/>
              <w:left w:w="192" w:type="dxa"/>
              <w:bottom w:w="120" w:type="dxa"/>
              <w:right w:w="192" w:type="dxa"/>
            </w:tcMar>
            <w:vAlign w:val="center"/>
          </w:tcPr>
          <w:p w14:paraId="0149E842">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Style w:val="7"/>
                <w:rFonts w:hint="default" w:ascii="Segoe UI" w:hAnsi="Segoe UI" w:eastAsia="Segoe UI" w:cs="Segoe UI"/>
                <w:b/>
                <w:bCs/>
                <w:kern w:val="0"/>
                <w:sz w:val="18"/>
                <w:szCs w:val="18"/>
                <w:lang w:val="en-US" w:eastAsia="zh-CN" w:bidi="ar"/>
              </w:rPr>
              <w:t>Self-directed learning ability</w:t>
            </w:r>
          </w:p>
        </w:tc>
        <w:tc>
          <w:tcPr>
            <w:tcW w:w="3426" w:type="dxa"/>
            <w:shd w:val="clear" w:color="auto" w:fill="auto"/>
            <w:tcMar>
              <w:top w:w="120" w:type="dxa"/>
              <w:left w:w="192" w:type="dxa"/>
              <w:bottom w:w="120" w:type="dxa"/>
              <w:right w:w="192" w:type="dxa"/>
            </w:tcMar>
            <w:vAlign w:val="center"/>
          </w:tcPr>
          <w:p w14:paraId="1422FCE6">
            <w:pPr>
              <w:keepNext w:val="0"/>
              <w:keepLines w:val="0"/>
              <w:widowControl/>
              <w:suppressLineNumbers w:val="0"/>
              <w:spacing w:line="300" w:lineRule="atLeast"/>
              <w:jc w:val="left"/>
              <w:rPr>
                <w:rFonts w:hint="default" w:ascii="Segoe UI" w:hAnsi="Segoe UI" w:eastAsia="Segoe UI" w:cs="Segoe UI"/>
                <w:color w:val="auto"/>
                <w:sz w:val="18"/>
                <w:szCs w:val="18"/>
              </w:rPr>
            </w:pPr>
            <w:r>
              <w:rPr>
                <w:rFonts w:hint="default" w:ascii="Segoe UI" w:hAnsi="Segoe UI" w:eastAsia="Segoe UI" w:cs="Segoe UI"/>
                <w:i w:val="0"/>
                <w:iCs w:val="0"/>
                <w:caps w:val="0"/>
                <w:color w:val="auto"/>
                <w:spacing w:val="0"/>
                <w:kern w:val="0"/>
                <w:sz w:val="18"/>
                <w:szCs w:val="18"/>
                <w:lang w:val="en-US" w:eastAsia="zh-CN" w:bidi="ar"/>
              </w:rPr>
              <w:t>Taking the initiative to continuously update one's medical knowledge and skills is fundamental.</w:t>
            </w:r>
          </w:p>
        </w:tc>
        <w:tc>
          <w:tcPr>
            <w:tcW w:w="0" w:type="auto"/>
            <w:shd w:val="clear" w:color="auto" w:fill="auto"/>
            <w:tcMar>
              <w:top w:w="120" w:type="dxa"/>
              <w:left w:w="192" w:type="dxa"/>
              <w:bottom w:w="120" w:type="dxa"/>
              <w:right w:w="192" w:type="dxa"/>
            </w:tcMar>
            <w:vAlign w:val="center"/>
          </w:tcPr>
          <w:p w14:paraId="6D44B85B">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22D95617">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0" w:type="auto"/>
            <w:shd w:val="clear" w:color="auto" w:fill="auto"/>
            <w:tcMar>
              <w:top w:w="120" w:type="dxa"/>
              <w:left w:w="192" w:type="dxa"/>
              <w:bottom w:w="120" w:type="dxa"/>
              <w:right w:w="192" w:type="dxa"/>
            </w:tcMar>
            <w:vAlign w:val="center"/>
          </w:tcPr>
          <w:p w14:paraId="7135126F">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w:t>
            </w:r>
          </w:p>
        </w:tc>
        <w:tc>
          <w:tcPr>
            <w:tcW w:w="493" w:type="dxa"/>
            <w:shd w:val="clear" w:color="auto" w:fill="auto"/>
            <w:vAlign w:val="center"/>
          </w:tcPr>
          <w:p w14:paraId="5453A449">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eastAsia" w:ascii="宋体"/>
                <w:sz w:val="24"/>
                <w:szCs w:val="24"/>
              </w:rPr>
            </w:pPr>
            <w:r>
              <w:rPr>
                <w:rFonts w:hint="default" w:ascii="Segoe UI" w:hAnsi="Segoe UI" w:eastAsia="Segoe UI" w:cs="Segoe UI"/>
                <w:kern w:val="0"/>
                <w:sz w:val="18"/>
                <w:szCs w:val="18"/>
                <w:lang w:val="en-US" w:eastAsia="zh-CN" w:bidi="ar"/>
              </w:rPr>
              <w:t>□</w:t>
            </w:r>
          </w:p>
        </w:tc>
        <w:tc>
          <w:tcPr>
            <w:tcW w:w="482" w:type="dxa"/>
            <w:shd w:val="clear" w:color="auto" w:fill="auto"/>
            <w:vAlign w:val="center"/>
          </w:tcPr>
          <w:p w14:paraId="4111F0D0">
            <w:pPr>
              <w:keepNext w:val="0"/>
              <w:keepLines w:val="0"/>
              <w:pageBreakBefore w:val="0"/>
              <w:widowControl/>
              <w:suppressLineNumbers w:val="0"/>
              <w:kinsoku/>
              <w:wordWrap/>
              <w:overflowPunct/>
              <w:topLinePunct w:val="0"/>
              <w:autoSpaceDE/>
              <w:autoSpaceDN/>
              <w:bidi w:val="0"/>
              <w:adjustRightInd/>
              <w:snapToGrid/>
              <w:spacing w:afterAutospacing="0" w:line="480" w:lineRule="exact"/>
              <w:jc w:val="left"/>
              <w:textAlignment w:val="auto"/>
              <w:rPr>
                <w:rFonts w:hint="eastAsia" w:ascii="宋体"/>
                <w:sz w:val="24"/>
                <w:szCs w:val="24"/>
              </w:rPr>
            </w:pPr>
            <w:r>
              <w:rPr>
                <w:rFonts w:hint="default" w:ascii="Segoe UI" w:hAnsi="Segoe UI" w:eastAsia="Segoe UI" w:cs="Segoe UI"/>
                <w:kern w:val="0"/>
                <w:sz w:val="18"/>
                <w:szCs w:val="18"/>
                <w:lang w:val="en-US" w:eastAsia="zh-CN" w:bidi="ar"/>
              </w:rPr>
              <w:t>□</w:t>
            </w:r>
          </w:p>
        </w:tc>
      </w:tr>
    </w:tbl>
    <w:p w14:paraId="4D0B5007">
      <w:pPr>
        <w:keepNext w:val="0"/>
        <w:keepLines w:val="0"/>
        <w:pageBreakBefore w:val="0"/>
        <w:kinsoku/>
        <w:wordWrap/>
        <w:overflowPunct/>
        <w:topLinePunct w:val="0"/>
        <w:autoSpaceDE/>
        <w:autoSpaceDN/>
        <w:bidi w:val="0"/>
        <w:adjustRightInd/>
        <w:snapToGrid/>
        <w:spacing w:afterAutospacing="0" w:line="480" w:lineRule="exact"/>
        <w:textAlignment w:val="auto"/>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F3FC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AB78A">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1AB78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72C4A"/>
    <w:rsid w:val="22CD6561"/>
    <w:rsid w:val="31972C4A"/>
    <w:rsid w:val="4E186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539</Words>
  <Characters>2842</Characters>
  <Lines>0</Lines>
  <Paragraphs>0</Paragraphs>
  <TotalTime>0</TotalTime>
  <ScaleCrop>false</ScaleCrop>
  <LinksUpToDate>false</LinksUpToDate>
  <CharactersWithSpaces>3231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2025-11-12T15:04:00Z</dcterms:created>
  <dc:creator>Z(๑´ㅂ`๑)M</dc:creator>
  <cp:lastModifiedBy>Z(๑´ㅂ`๑)M</cp:lastModifiedBy>
  <dcterms:modified xsi:type="dcterms:W3CDTF">2025-11-12T15:30:09Z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7948662239634060ACEEBD614D2D8C2D_11</vt:lpwstr>
  </property>
  <property fmtid="{D5CDD505-2E9C-101B-9397-08002B2CF9AE}" pid="4" name="KSOTemplateDocerSaveRecord">
    <vt:lpwstr>eyJoZGlkIjoiOWNlMDc4MjRkOGEwMDFiOGUxZGNkMTFjM2UxZGNhYTYiLCJ1c2VySWQiOiI0MTk1OTk4MDMifQ==</vt:lpwstr>
  </property>
</Properties>
</file>