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6C0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6" w:lineRule="auto"/>
        <w:jc w:val="center"/>
        <w:textAlignment w:val="auto"/>
        <w:rPr>
          <w:rFonts w:hint="default" w:ascii="Calibri" w:hAnsi="Calibri" w:eastAsia="宋体" w:cs="Calibri"/>
          <w:sz w:val="32"/>
          <w:szCs w:val="32"/>
          <w:lang w:eastAsia="zh-CN"/>
        </w:rPr>
      </w:pPr>
      <w:bookmarkStart w:id="0" w:name="_GoBack"/>
      <w:r>
        <w:rPr>
          <w:rFonts w:hint="default" w:ascii="Calibri" w:hAnsi="Calibri" w:cs="Calibri"/>
          <w:b/>
          <w:sz w:val="32"/>
          <w:szCs w:val="32"/>
        </w:rPr>
        <w:t xml:space="preserve">Supplementary </w:t>
      </w:r>
      <w:r>
        <w:rPr>
          <w:rFonts w:hint="default" w:ascii="Calibri" w:hAnsi="Calibri" w:eastAsia="宋体" w:cs="Calibri"/>
          <w:b/>
          <w:sz w:val="32"/>
          <w:szCs w:val="32"/>
          <w:lang w:val="en-US" w:eastAsia="zh-CN"/>
        </w:rPr>
        <w:t>File</w:t>
      </w:r>
      <w:r>
        <w:rPr>
          <w:rFonts w:hint="default" w:ascii="Calibri" w:hAnsi="Calibri" w:cs="Calibri"/>
          <w:b/>
          <w:sz w:val="32"/>
          <w:szCs w:val="32"/>
        </w:rPr>
        <w:t xml:space="preserve"> </w:t>
      </w:r>
      <w:r>
        <w:rPr>
          <w:rFonts w:hint="eastAsia" w:ascii="Calibri" w:hAnsi="Calibri" w:eastAsia="宋体" w:cs="Calibri"/>
          <w:b/>
          <w:sz w:val="32"/>
          <w:szCs w:val="32"/>
          <w:lang w:val="en-US" w:eastAsia="zh-CN"/>
        </w:rPr>
        <w:t>S</w:t>
      </w:r>
      <w:r>
        <w:rPr>
          <w:rFonts w:hint="default" w:ascii="Calibri" w:hAnsi="Calibri" w:eastAsia="宋体" w:cs="Calibri"/>
          <w:b/>
          <w:sz w:val="32"/>
          <w:szCs w:val="32"/>
          <w:lang w:val="en-US" w:eastAsia="zh-CN"/>
        </w:rPr>
        <w:t>2</w:t>
      </w:r>
    </w:p>
    <w:p w14:paraId="5DED0F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6" w:lineRule="auto"/>
        <w:jc w:val="center"/>
        <w:textAlignment w:val="auto"/>
        <w:rPr>
          <w:rFonts w:hint="default" w:ascii="Calibri" w:hAnsi="Calibri" w:cs="Calibri"/>
          <w:b/>
          <w:sz w:val="32"/>
          <w:szCs w:val="32"/>
        </w:rPr>
      </w:pPr>
      <w:r>
        <w:rPr>
          <w:rFonts w:hint="default" w:ascii="Calibri" w:hAnsi="Calibri" w:cs="Calibri"/>
          <w:b/>
          <w:sz w:val="32"/>
          <w:szCs w:val="32"/>
        </w:rPr>
        <w:t>OSCE Rating Form for the Second-stage Ultrasound Residency</w:t>
      </w:r>
    </w:p>
    <w:p w14:paraId="6CDA51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36" w:lineRule="auto"/>
        <w:jc w:val="center"/>
        <w:textAlignment w:val="auto"/>
        <w:rPr>
          <w:rFonts w:hint="default" w:ascii="Calibri" w:hAnsi="Calibri" w:cs="Calibri"/>
          <w:sz w:val="32"/>
          <w:szCs w:val="32"/>
        </w:rPr>
      </w:pPr>
      <w:r>
        <w:rPr>
          <w:rFonts w:hint="default" w:ascii="Calibri" w:hAnsi="Calibri" w:cs="Calibri"/>
          <w:b/>
          <w:sz w:val="32"/>
          <w:szCs w:val="32"/>
        </w:rPr>
        <w:t xml:space="preserve"> End-of-rotation Examination</w:t>
      </w:r>
    </w:p>
    <w:bookmarkEnd w:id="0"/>
    <w:p w14:paraId="3867E2ED">
      <w:pPr>
        <w:jc w:val="left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This supplementary table presents the structured scoring rubric used for the objective structured clinical examination (OSCE) in the second-stage ultrasound residency end-of-rotation assessment. The total possible score is 100 points.</w:t>
      </w:r>
    </w:p>
    <w:tbl>
      <w:tblPr>
        <w:tblStyle w:val="33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5131"/>
        <w:gridCol w:w="1170"/>
        <w:gridCol w:w="674"/>
        <w:gridCol w:w="1187"/>
      </w:tblGrid>
      <w:tr w14:paraId="14B59ED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6CCA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b/>
                <w:sz w:val="20"/>
              </w:rPr>
            </w:pPr>
            <w:r>
              <w:rPr>
                <w:rFonts w:hint="default" w:ascii="Calibri" w:hAnsi="Calibri" w:eastAsia="Arial" w:cs="Calibri"/>
                <w:b/>
                <w:sz w:val="20"/>
              </w:rPr>
              <w:t>Domain</w:t>
            </w:r>
          </w:p>
        </w:tc>
        <w:tc>
          <w:tcPr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FA1B4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b/>
                <w:sz w:val="20"/>
              </w:rPr>
            </w:pPr>
            <w:r>
              <w:rPr>
                <w:rFonts w:hint="default" w:ascii="Calibri" w:hAnsi="Calibri" w:eastAsia="Arial" w:cs="Calibri"/>
                <w:b/>
                <w:sz w:val="20"/>
              </w:rPr>
              <w:t>Assessment item</w:t>
            </w:r>
          </w:p>
        </w:tc>
        <w:tc>
          <w:tcPr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990B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b/>
                <w:sz w:val="20"/>
              </w:rPr>
            </w:pPr>
            <w:r>
              <w:rPr>
                <w:rFonts w:hint="default" w:ascii="Calibri" w:hAnsi="Calibri" w:eastAsia="Arial" w:cs="Calibri"/>
                <w:b/>
                <w:sz w:val="20"/>
              </w:rPr>
              <w:t>Maximum score</w:t>
            </w:r>
          </w:p>
        </w:tc>
        <w:tc>
          <w:tcPr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00FC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b/>
                <w:sz w:val="20"/>
              </w:rPr>
            </w:pPr>
            <w:r>
              <w:rPr>
                <w:rFonts w:hint="default" w:ascii="Calibri" w:hAnsi="Calibri" w:eastAsia="Arial" w:cs="Calibri"/>
                <w:b/>
                <w:sz w:val="20"/>
              </w:rPr>
              <w:t xml:space="preserve">Score 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5E81B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b/>
                <w:sz w:val="20"/>
              </w:rPr>
            </w:pPr>
            <w:r>
              <w:rPr>
                <w:rFonts w:hint="default" w:ascii="Calibri" w:hAnsi="Calibri" w:eastAsia="宋体" w:cs="Calibri"/>
                <w:b/>
                <w:sz w:val="20"/>
                <w:lang w:val="en-US" w:eastAsia="zh-CN"/>
              </w:rPr>
              <w:t>D</w:t>
            </w:r>
            <w:r>
              <w:rPr>
                <w:rFonts w:hint="default" w:ascii="Calibri" w:hAnsi="Calibri" w:eastAsia="Arial" w:cs="Calibri"/>
                <w:b/>
                <w:sz w:val="20"/>
              </w:rPr>
              <w:t>eduction notes</w:t>
            </w:r>
          </w:p>
        </w:tc>
      </w:tr>
      <w:tr w14:paraId="3055F0C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restart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E00A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Pre-examination preparation</w:t>
            </w:r>
          </w:p>
          <w:p w14:paraId="1D02832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 xml:space="preserve"> (15 points)</w:t>
            </w:r>
          </w:p>
          <w:p w14:paraId="1B76889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DE5CC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Confirm patient identity</w:t>
            </w:r>
          </w:p>
        </w:tc>
        <w:tc>
          <w:tcPr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9156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4</w:t>
            </w:r>
          </w:p>
        </w:tc>
        <w:tc>
          <w:tcPr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E622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C60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6D1E46D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9C66F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C99A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Explain pre-examination precautions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F2B0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3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5E69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9D54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5F554CE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7BF1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9995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Obtain relevant history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B3CE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4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1D71E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D26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20A0BA5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3A48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DC8C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Demonstrate patient-centered communication and humane care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C7B8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4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1B99A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5E9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5D3C88C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D400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Equipment setup and operation</w:t>
            </w:r>
          </w:p>
          <w:p w14:paraId="0297B4D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 xml:space="preserve"> (10 points)</w:t>
            </w:r>
          </w:p>
          <w:p w14:paraId="5E89DD94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9781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Select the appropriate transducer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C3CB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8C81A7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4D14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0A111F6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A7EA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DDF2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Choose the correct preset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FB07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0119F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9E52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7AE4885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D5314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FB06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Optimize image settings (e.g., depth/zoom, overall gain/TGC, frequency/penetration, frame rate, persistence, image processing, dynamic range, Doppler preset, scale, wall filter, color/flow gain)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DF16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6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F0808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CF4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0B7D232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3E80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Scanning technique (25 points)</w:t>
            </w:r>
          </w:p>
          <w:p w14:paraId="677F862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49CA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Use appropriate patient positioning and repositioning when needed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C4FE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8789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0D9B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6827925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9579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3F5B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Hold and manipulate the probe correctly; demonstrate adequate hand control and probe palpation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70DE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2A7A0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5AC77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7E99BB5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2D86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299C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Acquire standard longitudinal, transverse, and oblique planes appropriately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6D00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229FC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39C0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0104B7B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8BD3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E5AB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Display lesions comprehensively and clearly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7830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9BF5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9435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379774F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EC3D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1608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Demonstrate familiarity with relevant anatomy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2091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2.5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A9674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3990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367E910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04B8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A79D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Use breathing control, breath-holding, position change, and probe compression when appropriate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743B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2.5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9351A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5B41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3C37E9F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891B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Verbal or written description of ultrasound findings</w:t>
            </w:r>
          </w:p>
          <w:p w14:paraId="0191B6D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 xml:space="preserve"> (25 points)</w:t>
            </w:r>
          </w:p>
          <w:p w14:paraId="2C5CD81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CEEC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Use standardized, fluent, and logical wording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BBBB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0287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F167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1BE7F13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65B6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D284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Describe lesion location and sonographic features comprehensively and in logical order, including Doppler findings when applicable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CA8C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10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C925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6136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223B980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B2924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93C5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Identify important negative findings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CCA8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2.5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6AC90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0764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4A00CB2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A046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786D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Describe special circumstances when applicable (e.g., semierect position, standing position, knee-chest position, transrectal examination)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CA8FD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2.5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C259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699E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1211B8E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35E8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97FC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Provide representative static and dynamic images; ensure adequate image clarity, size, brightness, contrast, and accurate labels/body marks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532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5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F5ED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6D53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0E6D34B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3BFE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Ultrasound diagnosis</w:t>
            </w:r>
          </w:p>
          <w:p w14:paraId="3B1A809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 xml:space="preserve"> (15 points)</w:t>
            </w:r>
          </w:p>
          <w:p w14:paraId="646B8CA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8D0B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Provide a clear diagnosis; when uncertain, list several possible diagnoses in order of likelihood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56598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8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199674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39D9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6F717D6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0D96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E397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Provide differential diagnoses when necessary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609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D948A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4450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4E04823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903F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7DEAB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Integrate relevant clinical and laboratory information when necessary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2418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2A70D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41A4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0A42694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9033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0D62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Compare with previous examinations for follow-up cases when appropriate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0FA9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2</w:t>
            </w:r>
          </w:p>
        </w:tc>
        <w:tc>
          <w:tcPr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8A88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3900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  <w:tr w14:paraId="0C6F9E3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vMerge w:val="continue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C2EB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D149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Recommend follow-up or additional examinations when necessary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1BB4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  <w:r>
              <w:rPr>
                <w:rFonts w:hint="default" w:ascii="Calibri" w:hAnsi="Calibri" w:eastAsia="Arial" w:cs="Calibri"/>
                <w:sz w:val="20"/>
              </w:rPr>
              <w:t>1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64E5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Calibri" w:hAnsi="Calibri" w:eastAsia="Arial" w:cs="Calibri"/>
                <w:sz w:val="20"/>
              </w:rPr>
            </w:pP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6812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Calibri" w:hAnsi="Calibri" w:eastAsia="Arial" w:cs="Calibri"/>
                <w:sz w:val="20"/>
              </w:rPr>
            </w:pPr>
          </w:p>
        </w:tc>
      </w:tr>
    </w:tbl>
    <w:p w14:paraId="2569A2AF">
      <w:pPr>
        <w:rPr>
          <w:rFonts w:hint="default" w:ascii="Calibri" w:hAnsi="Calibri" w:cs="Calibri"/>
        </w:rPr>
      </w:pPr>
    </w:p>
    <w:sectPr>
      <w:pgSz w:w="12240" w:h="15840"/>
      <w:pgMar w:top="1134" w:right="1134" w:bottom="1134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991417"/>
    <w:rsid w:val="4BF07653"/>
    <w:rsid w:val="50C23BF9"/>
    <w:rsid w:val="51161B0F"/>
    <w:rsid w:val="56FF2F5D"/>
    <w:rsid w:val="60FD4FDE"/>
    <w:rsid w:val="62363E3B"/>
    <w:rsid w:val="70BE0703"/>
    <w:rsid w:val="757F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2034</Characters>
  <Lines>0</Lines>
  <Paragraphs>0</Paragraphs>
  <TotalTime>0</TotalTime>
  <ScaleCrop>false</ScaleCrop>
  <LinksUpToDate>false</LinksUpToDate>
  <CharactersWithSpaces>2272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小玻璃心</cp:lastModifiedBy>
  <dcterms:modified xsi:type="dcterms:W3CDTF">2026-03-31T16:30:48Z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7BA748CE67444A2C82810925DCCCCD82_13</vt:lpwstr>
  </property>
  <property fmtid="{D5CDD505-2E9C-101B-9397-08002B2CF9AE}" pid="4" name="KSOTemplateDocerSaveRecord">
    <vt:lpwstr>eyJoZGlkIjoiN2VhMjljYTM3MTAwZWY1YjAzNzc3ODY2OWMwYzIwMWIiLCJ1c2VySWQiOiI3NDI5MDEzNjMifQ==</vt:lpwstr>
  </property>
</Properties>
</file>