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7106" w14:textId="77777777" w:rsidR="00B55897" w:rsidRPr="00407816" w:rsidRDefault="00B55897" w:rsidP="00B5589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7816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2S</w:t>
      </w:r>
      <w:r w:rsidRPr="00407816">
        <w:rPr>
          <w:rFonts w:ascii="Times New Roman" w:hAnsi="Times New Roman" w:cs="Times New Roman"/>
          <w:b/>
          <w:bCs/>
        </w:rPr>
        <w:t>: Core-</w:t>
      </w:r>
      <w:r w:rsidRPr="00407816">
        <w:rPr>
          <w:rFonts w:ascii="Times New Roman" w:hAnsi="Times New Roman" w:cs="Times New Roman"/>
          <w:b/>
          <w:bCs/>
          <w:sz w:val="24"/>
          <w:szCs w:val="24"/>
        </w:rPr>
        <w:t>Competencies in Medical Technologists that did not reach consensus in Delphi survey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594"/>
        <w:gridCol w:w="1839"/>
        <w:gridCol w:w="5017"/>
        <w:gridCol w:w="908"/>
        <w:gridCol w:w="990"/>
      </w:tblGrid>
      <w:tr w:rsidR="00B55897" w:rsidRPr="00407816" w14:paraId="4FD5FFBC" w14:textId="77777777" w:rsidTr="00942193">
        <w:tc>
          <w:tcPr>
            <w:tcW w:w="1594" w:type="dxa"/>
          </w:tcPr>
          <w:p w14:paraId="59A2DC9A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Domain</w:t>
            </w:r>
          </w:p>
        </w:tc>
        <w:tc>
          <w:tcPr>
            <w:tcW w:w="1839" w:type="dxa"/>
          </w:tcPr>
          <w:p w14:paraId="57F5EFAA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Competency</w:t>
            </w:r>
          </w:p>
        </w:tc>
        <w:tc>
          <w:tcPr>
            <w:tcW w:w="5017" w:type="dxa"/>
          </w:tcPr>
          <w:p w14:paraId="10F81FEE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Sub competency</w:t>
            </w:r>
          </w:p>
        </w:tc>
        <w:tc>
          <w:tcPr>
            <w:tcW w:w="1898" w:type="dxa"/>
            <w:gridSpan w:val="2"/>
          </w:tcPr>
          <w:p w14:paraId="19EDB8C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Consensus %</w:t>
            </w:r>
          </w:p>
        </w:tc>
      </w:tr>
      <w:tr w:rsidR="00B55897" w:rsidRPr="00407816" w14:paraId="62D7A887" w14:textId="77777777" w:rsidTr="00942193">
        <w:tc>
          <w:tcPr>
            <w:tcW w:w="1594" w:type="dxa"/>
          </w:tcPr>
          <w:p w14:paraId="5FC0A28A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</w:p>
        </w:tc>
        <w:tc>
          <w:tcPr>
            <w:tcW w:w="1839" w:type="dxa"/>
          </w:tcPr>
          <w:p w14:paraId="7C2880C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</w:p>
        </w:tc>
        <w:tc>
          <w:tcPr>
            <w:tcW w:w="5017" w:type="dxa"/>
          </w:tcPr>
          <w:p w14:paraId="38E0C9FA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</w:p>
        </w:tc>
        <w:tc>
          <w:tcPr>
            <w:tcW w:w="908" w:type="dxa"/>
          </w:tcPr>
          <w:p w14:paraId="22B14F8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Round 1</w:t>
            </w:r>
          </w:p>
        </w:tc>
        <w:tc>
          <w:tcPr>
            <w:tcW w:w="990" w:type="dxa"/>
          </w:tcPr>
          <w:p w14:paraId="074450AD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Round 2</w:t>
            </w:r>
          </w:p>
        </w:tc>
      </w:tr>
      <w:tr w:rsidR="00B55897" w:rsidRPr="00407816" w14:paraId="50D7A049" w14:textId="77777777" w:rsidTr="00942193">
        <w:tc>
          <w:tcPr>
            <w:tcW w:w="1594" w:type="dxa"/>
          </w:tcPr>
          <w:p w14:paraId="06693F47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Management and Leadership</w:t>
            </w:r>
          </w:p>
        </w:tc>
        <w:tc>
          <w:tcPr>
            <w:tcW w:w="1839" w:type="dxa"/>
          </w:tcPr>
          <w:p w14:paraId="0EAD406B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MLD 1.00. Financial management</w:t>
            </w:r>
          </w:p>
        </w:tc>
        <w:tc>
          <w:tcPr>
            <w:tcW w:w="5017" w:type="dxa"/>
          </w:tcPr>
          <w:p w14:paraId="278CF023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MLD 1.01 Complies with budgetary guidelines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MLD 1.02 Describes revenue sources associated with individual activities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MLD 1.03 Adheres to guidelines and limits for expenditures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MLD 1.04 Uses designated financial management tools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MLD 1.05 Uses workplace resources efficiently</w:t>
            </w:r>
          </w:p>
        </w:tc>
        <w:tc>
          <w:tcPr>
            <w:tcW w:w="908" w:type="dxa"/>
          </w:tcPr>
          <w:p w14:paraId="64E52915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76.5%</w:t>
            </w:r>
          </w:p>
        </w:tc>
        <w:tc>
          <w:tcPr>
            <w:tcW w:w="990" w:type="dxa"/>
          </w:tcPr>
          <w:p w14:paraId="4665F793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58%</w:t>
            </w:r>
          </w:p>
        </w:tc>
      </w:tr>
      <w:tr w:rsidR="00B55897" w:rsidRPr="00407816" w14:paraId="4DB682D8" w14:textId="77777777" w:rsidTr="00942193">
        <w:tc>
          <w:tcPr>
            <w:tcW w:w="1594" w:type="dxa"/>
          </w:tcPr>
          <w:p w14:paraId="7B2D0135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Communication</w:t>
            </w:r>
          </w:p>
        </w:tc>
        <w:tc>
          <w:tcPr>
            <w:tcW w:w="1839" w:type="dxa"/>
          </w:tcPr>
          <w:p w14:paraId="089455A7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COM 1.00. Public health laboratory value</w:t>
            </w:r>
          </w:p>
        </w:tc>
        <w:tc>
          <w:tcPr>
            <w:tcW w:w="5017" w:type="dxa"/>
          </w:tcPr>
          <w:p w14:paraId="3DA6A3D6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COM 1.01. Describes impact of the work of the public health laboratory and system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COM 1.02. Supports the development and distribution of communication materials about the public health laboratory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COM 1.03. Shares approved public health laboratory stories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COM 1.04. Participates in marketing strategies</w:t>
            </w:r>
          </w:p>
        </w:tc>
        <w:tc>
          <w:tcPr>
            <w:tcW w:w="908" w:type="dxa"/>
          </w:tcPr>
          <w:p w14:paraId="3CE81D1D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76.5%</w:t>
            </w:r>
          </w:p>
        </w:tc>
        <w:tc>
          <w:tcPr>
            <w:tcW w:w="990" w:type="dxa"/>
          </w:tcPr>
          <w:p w14:paraId="2FB1A93E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75%</w:t>
            </w:r>
          </w:p>
        </w:tc>
      </w:tr>
      <w:tr w:rsidR="00B55897" w:rsidRPr="00407816" w14:paraId="1244065B" w14:textId="77777777" w:rsidTr="00942193">
        <w:tc>
          <w:tcPr>
            <w:tcW w:w="1594" w:type="dxa"/>
          </w:tcPr>
          <w:p w14:paraId="6DC671B5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Research</w:t>
            </w:r>
          </w:p>
        </w:tc>
        <w:tc>
          <w:tcPr>
            <w:tcW w:w="1839" w:type="dxa"/>
          </w:tcPr>
          <w:p w14:paraId="71051367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1.00. Research programs</w:t>
            </w:r>
          </w:p>
        </w:tc>
        <w:tc>
          <w:tcPr>
            <w:tcW w:w="5017" w:type="dxa"/>
          </w:tcPr>
          <w:p w14:paraId="6AC650EC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1.01 Formulates research projects (preferably hypothesis driven) that align with the laboratory’s research objectives and agenda</w:t>
            </w:r>
          </w:p>
          <w:p w14:paraId="551B6D56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1.02 Participates in writing funding proposals for research projects</w:t>
            </w:r>
          </w:p>
          <w:p w14:paraId="183E62F9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1.03 Describes basics of the proposal review process</w:t>
            </w:r>
          </w:p>
          <w:p w14:paraId="2C679F0F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1.04 Considers available financial, human, and material resources when planning experiments</w:t>
            </w:r>
          </w:p>
          <w:p w14:paraId="1E4DC98F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lastRenderedPageBreak/>
              <w:t>RES 1.05 Identifies noncompliance with regulatory requirements pertaining to the performance of research</w:t>
            </w:r>
          </w:p>
        </w:tc>
        <w:tc>
          <w:tcPr>
            <w:tcW w:w="908" w:type="dxa"/>
          </w:tcPr>
          <w:p w14:paraId="293A34E3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lastRenderedPageBreak/>
              <w:t>70.5%</w:t>
            </w:r>
          </w:p>
        </w:tc>
        <w:tc>
          <w:tcPr>
            <w:tcW w:w="990" w:type="dxa"/>
          </w:tcPr>
          <w:p w14:paraId="390BBC4F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66%</w:t>
            </w:r>
          </w:p>
        </w:tc>
      </w:tr>
      <w:tr w:rsidR="00B55897" w:rsidRPr="00407816" w14:paraId="41649EBB" w14:textId="77777777" w:rsidTr="00942193">
        <w:tc>
          <w:tcPr>
            <w:tcW w:w="1594" w:type="dxa"/>
          </w:tcPr>
          <w:p w14:paraId="56B49ADD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</w:p>
        </w:tc>
        <w:tc>
          <w:tcPr>
            <w:tcW w:w="1839" w:type="dxa"/>
          </w:tcPr>
          <w:p w14:paraId="69A5E6E6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2.00. Research project execution</w:t>
            </w:r>
          </w:p>
        </w:tc>
        <w:tc>
          <w:tcPr>
            <w:tcW w:w="5017" w:type="dxa"/>
          </w:tcPr>
          <w:p w14:paraId="1C9804DC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2.01 Designs research projects</w:t>
            </w:r>
          </w:p>
          <w:p w14:paraId="0EFF36B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 2.02 Designs individual experiments</w:t>
            </w:r>
          </w:p>
          <w:p w14:paraId="6FE25581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proofErr w:type="gramStart"/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RES</w:t>
            </w:r>
            <w:proofErr w:type="gramEnd"/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2.03 Develops research protocols to guide the conduct of experiments</w:t>
            </w:r>
          </w:p>
        </w:tc>
        <w:tc>
          <w:tcPr>
            <w:tcW w:w="908" w:type="dxa"/>
          </w:tcPr>
          <w:p w14:paraId="58F725F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76.5%</w:t>
            </w:r>
          </w:p>
        </w:tc>
        <w:tc>
          <w:tcPr>
            <w:tcW w:w="990" w:type="dxa"/>
          </w:tcPr>
          <w:p w14:paraId="1C77F7A8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66%</w:t>
            </w:r>
          </w:p>
        </w:tc>
      </w:tr>
      <w:tr w:rsidR="00B55897" w:rsidRPr="00407816" w14:paraId="5C061EA8" w14:textId="77777777" w:rsidTr="00942193">
        <w:tc>
          <w:tcPr>
            <w:tcW w:w="1594" w:type="dxa"/>
          </w:tcPr>
          <w:p w14:paraId="4C2A3656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Informatics</w:t>
            </w:r>
          </w:p>
        </w:tc>
        <w:tc>
          <w:tcPr>
            <w:tcW w:w="1839" w:type="dxa"/>
          </w:tcPr>
          <w:p w14:paraId="0A73693F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INF 1.00. Statistical analysis and surveillance</w:t>
            </w:r>
          </w:p>
        </w:tc>
        <w:tc>
          <w:tcPr>
            <w:tcW w:w="5017" w:type="dxa"/>
          </w:tcPr>
          <w:p w14:paraId="08994DDD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INF 1.01. Explains how automated statistical evaluation tools link meta data and demographic data within reports</w:t>
            </w: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br/>
              <w:t>INF 1.02. Describes the production of laboratory performance reports</w:t>
            </w:r>
          </w:p>
        </w:tc>
        <w:tc>
          <w:tcPr>
            <w:tcW w:w="908" w:type="dxa"/>
          </w:tcPr>
          <w:p w14:paraId="7C4CBEB2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76.5%</w:t>
            </w:r>
          </w:p>
        </w:tc>
        <w:tc>
          <w:tcPr>
            <w:tcW w:w="990" w:type="dxa"/>
          </w:tcPr>
          <w:p w14:paraId="273CA156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66%</w:t>
            </w:r>
          </w:p>
        </w:tc>
      </w:tr>
      <w:tr w:rsidR="00B55897" w:rsidRPr="00407816" w14:paraId="701709A4" w14:textId="77777777" w:rsidTr="00942193">
        <w:tc>
          <w:tcPr>
            <w:tcW w:w="1594" w:type="dxa"/>
          </w:tcPr>
          <w:p w14:paraId="71D2F8A2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Haematology</w:t>
            </w:r>
          </w:p>
        </w:tc>
        <w:tc>
          <w:tcPr>
            <w:tcW w:w="1839" w:type="dxa"/>
          </w:tcPr>
          <w:p w14:paraId="45994461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HEM 1.00 Cell identification and morphology</w:t>
            </w:r>
          </w:p>
        </w:tc>
        <w:tc>
          <w:tcPr>
            <w:tcW w:w="5017" w:type="dxa"/>
          </w:tcPr>
          <w:p w14:paraId="23E11BE0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HEM 1.01 Identifies various blood cell types accurately.</w:t>
            </w:r>
          </w:p>
          <w:p w14:paraId="0DF723AA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HEM 1.02 Recognizes and reports common morphological abnormalities.</w:t>
            </w:r>
          </w:p>
        </w:tc>
        <w:tc>
          <w:tcPr>
            <w:tcW w:w="908" w:type="dxa"/>
          </w:tcPr>
          <w:p w14:paraId="5D1FE89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75%</w:t>
            </w:r>
          </w:p>
        </w:tc>
        <w:tc>
          <w:tcPr>
            <w:tcW w:w="990" w:type="dxa"/>
          </w:tcPr>
          <w:p w14:paraId="2C2A5BF8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66%</w:t>
            </w:r>
          </w:p>
        </w:tc>
      </w:tr>
      <w:tr w:rsidR="00B55897" w:rsidRPr="00407816" w14:paraId="2456EF39" w14:textId="77777777" w:rsidTr="00942193">
        <w:tc>
          <w:tcPr>
            <w:tcW w:w="1594" w:type="dxa"/>
          </w:tcPr>
          <w:p w14:paraId="3ED9BC88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Microbiology</w:t>
            </w:r>
          </w:p>
        </w:tc>
        <w:tc>
          <w:tcPr>
            <w:tcW w:w="1839" w:type="dxa"/>
          </w:tcPr>
          <w:p w14:paraId="4222933C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MCB 1.00. Facilities and safety </w:t>
            </w:r>
          </w:p>
          <w:p w14:paraId="437738DE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5017" w:type="dxa"/>
          </w:tcPr>
          <w:p w14:paraId="4FCD6ED8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MCB 1.01 Instructs others on laboratory hazards and hazard communication related to microbiological agents</w:t>
            </w:r>
          </w:p>
          <w:p w14:paraId="17223847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MCB 1.02 Instructs others in policies, processes, and procedures regarding safe work practices related to microbiological agents</w:t>
            </w:r>
          </w:p>
          <w:p w14:paraId="16D5AD2C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MCB 1.03 Adheres to policies, processes, and procedures regarding PPE use for work related to microbiological agents</w:t>
            </w:r>
          </w:p>
          <w:p w14:paraId="1E613F5D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MCB 1.04 Adheres to policies, processes, and procedures regarding the use of biosafety cabinets and other engineering controls</w:t>
            </w:r>
          </w:p>
          <w:p w14:paraId="13C8861D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MCB 1.05 Instructs staff in waste management policies, processes, and procedures related to microbiological agents</w:t>
            </w:r>
          </w:p>
          <w:p w14:paraId="0ECDCA46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MCB 1.06 Ensures staff compliance with policies, processes, and procedures regarding decontamination</w:t>
            </w:r>
          </w:p>
          <w:p w14:paraId="07D59AB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lastRenderedPageBreak/>
              <w:t>MCB 1.07 Adheres to policies, processes, and procedures regarding storage of microbiological materials</w:t>
            </w:r>
          </w:p>
        </w:tc>
        <w:tc>
          <w:tcPr>
            <w:tcW w:w="908" w:type="dxa"/>
          </w:tcPr>
          <w:p w14:paraId="289C9281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lastRenderedPageBreak/>
              <w:t>75%</w:t>
            </w:r>
          </w:p>
        </w:tc>
        <w:tc>
          <w:tcPr>
            <w:tcW w:w="990" w:type="dxa"/>
          </w:tcPr>
          <w:p w14:paraId="19AD31A9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75%</w:t>
            </w:r>
          </w:p>
        </w:tc>
      </w:tr>
      <w:tr w:rsidR="00B55897" w:rsidRPr="00407816" w14:paraId="19C72E95" w14:textId="77777777" w:rsidTr="00942193">
        <w:tc>
          <w:tcPr>
            <w:tcW w:w="1594" w:type="dxa"/>
          </w:tcPr>
          <w:p w14:paraId="3624147B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Chemistry</w:t>
            </w:r>
          </w:p>
        </w:tc>
        <w:tc>
          <w:tcPr>
            <w:tcW w:w="1839" w:type="dxa"/>
          </w:tcPr>
          <w:p w14:paraId="2132840F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CHM 1.00. Regulatory compliance </w:t>
            </w:r>
          </w:p>
          <w:p w14:paraId="2A00F0F8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5017" w:type="dxa"/>
          </w:tcPr>
          <w:p w14:paraId="01291272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CHM 1.01 Analyze NCEs for corrective actions and documentation</w:t>
            </w:r>
          </w:p>
          <w:p w14:paraId="1FB5434F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CHM 1.02 Monitor to ensure the PT and alternative assessment program meets regulatory requirements</w:t>
            </w:r>
          </w:p>
          <w:p w14:paraId="07E3E168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CHM 1.03 Evaluate method validation and performance verification results</w:t>
            </w:r>
          </w:p>
          <w:p w14:paraId="4C4AF822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CHM 1.04 Evaluate LDT validation data</w:t>
            </w:r>
          </w:p>
          <w:p w14:paraId="731E0C06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ab/>
            </w:r>
          </w:p>
        </w:tc>
        <w:tc>
          <w:tcPr>
            <w:tcW w:w="908" w:type="dxa"/>
          </w:tcPr>
          <w:p w14:paraId="62C03844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77.8%</w:t>
            </w:r>
          </w:p>
        </w:tc>
        <w:tc>
          <w:tcPr>
            <w:tcW w:w="990" w:type="dxa"/>
          </w:tcPr>
          <w:p w14:paraId="033B6CBD" w14:textId="77777777" w:rsidR="00B55897" w:rsidRPr="00407816" w:rsidRDefault="00B55897" w:rsidP="00942193">
            <w:pPr>
              <w:spacing w:line="480" w:lineRule="auto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58%</w:t>
            </w:r>
          </w:p>
        </w:tc>
      </w:tr>
    </w:tbl>
    <w:p w14:paraId="6E4AED28" w14:textId="45244F27" w:rsidR="00AC1958" w:rsidRDefault="00AC1958" w:rsidP="00B55897"/>
    <w:sectPr w:rsidR="00AC1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05"/>
    <w:rsid w:val="00371BB6"/>
    <w:rsid w:val="00787F05"/>
    <w:rsid w:val="00AC1958"/>
    <w:rsid w:val="00B55897"/>
    <w:rsid w:val="00D6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66E19"/>
  <w15:chartTrackingRefBased/>
  <w15:docId w15:val="{2ABB1929-1066-4F50-91CE-AE907D84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89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F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F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F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F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F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F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F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F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F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F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F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F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F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F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F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F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F0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87F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F0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87F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F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F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589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Habib</dc:creator>
  <cp:keywords/>
  <dc:description/>
  <cp:lastModifiedBy>Aysha Habib</cp:lastModifiedBy>
  <cp:revision>2</cp:revision>
  <dcterms:created xsi:type="dcterms:W3CDTF">2026-03-06T10:22:00Z</dcterms:created>
  <dcterms:modified xsi:type="dcterms:W3CDTF">2026-03-06T10:22:00Z</dcterms:modified>
</cp:coreProperties>
</file>