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2F8DD" w14:textId="77777777" w:rsidR="0030182A" w:rsidRDefault="0030182A" w:rsidP="005761D1">
      <w:pPr>
        <w:pStyle w:val="NoSpacing"/>
      </w:pPr>
    </w:p>
    <w:p w14:paraId="44020D34" w14:textId="77777777" w:rsidR="00E5361A" w:rsidRDefault="00E5361A"/>
    <w:p w14:paraId="1DC15258" w14:textId="5489B5F2" w:rsidR="00E5361A" w:rsidRPr="000744E3" w:rsidRDefault="000744E3" w:rsidP="000744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744E3">
        <w:rPr>
          <w:rFonts w:asciiTheme="majorBidi" w:hAnsiTheme="majorBidi" w:cstheme="majorBidi"/>
          <w:b/>
          <w:bCs/>
          <w:sz w:val="28"/>
          <w:szCs w:val="28"/>
        </w:rPr>
        <w:t xml:space="preserve">Table </w:t>
      </w:r>
      <w:r w:rsidR="005761D1">
        <w:rPr>
          <w:rFonts w:asciiTheme="majorBidi" w:hAnsiTheme="majorBidi" w:cstheme="majorBidi"/>
          <w:b/>
          <w:bCs/>
          <w:sz w:val="28"/>
          <w:szCs w:val="28"/>
        </w:rPr>
        <w:t>1S</w:t>
      </w:r>
      <w:r w:rsidRPr="000744E3">
        <w:rPr>
          <w:rFonts w:asciiTheme="majorBidi" w:hAnsiTheme="majorBidi" w:cstheme="majorBidi"/>
          <w:b/>
          <w:bCs/>
          <w:sz w:val="28"/>
          <w:szCs w:val="28"/>
        </w:rPr>
        <w:t xml:space="preserve">. </w:t>
      </w:r>
      <w:r w:rsidR="00E5361A" w:rsidRPr="000744E3">
        <w:rPr>
          <w:rFonts w:asciiTheme="majorBidi" w:hAnsiTheme="majorBidi" w:cstheme="majorBidi"/>
          <w:b/>
          <w:bCs/>
          <w:sz w:val="28"/>
          <w:szCs w:val="28"/>
        </w:rPr>
        <w:t>Variance Inflation Factor (VIF) Values for Predictor Variables</w:t>
      </w:r>
      <w:r>
        <w:t xml:space="preserve"> </w:t>
      </w:r>
      <w:r w:rsidRPr="000744E3">
        <w:rPr>
          <w:rFonts w:asciiTheme="majorBidi" w:hAnsiTheme="majorBidi" w:cstheme="majorBidi"/>
          <w:b/>
          <w:bCs/>
          <w:sz w:val="28"/>
          <w:szCs w:val="28"/>
        </w:rPr>
        <w:t>Constructs</w:t>
      </w:r>
    </w:p>
    <w:tbl>
      <w:tblPr>
        <w:tblStyle w:val="TableGrid"/>
        <w:tblW w:w="10032" w:type="dxa"/>
        <w:tblLook w:val="04A0" w:firstRow="1" w:lastRow="0" w:firstColumn="1" w:lastColumn="0" w:noHBand="0" w:noVBand="1"/>
      </w:tblPr>
      <w:tblGrid>
        <w:gridCol w:w="4545"/>
        <w:gridCol w:w="2734"/>
        <w:gridCol w:w="2753"/>
      </w:tblGrid>
      <w:tr w:rsidR="00E5361A" w:rsidRPr="000744E3" w14:paraId="65483147" w14:textId="77777777" w:rsidTr="000744E3">
        <w:trPr>
          <w:trHeight w:val="434"/>
        </w:trPr>
        <w:tc>
          <w:tcPr>
            <w:tcW w:w="45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0B444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744E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Predictor Variables</w:t>
            </w:r>
          </w:p>
        </w:tc>
        <w:tc>
          <w:tcPr>
            <w:tcW w:w="2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05452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744E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Tolerance</w:t>
            </w:r>
          </w:p>
        </w:tc>
        <w:tc>
          <w:tcPr>
            <w:tcW w:w="2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FF896F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744E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VIF</w:t>
            </w:r>
          </w:p>
        </w:tc>
      </w:tr>
      <w:tr w:rsidR="00E5361A" w:rsidRPr="000744E3" w14:paraId="0F970DC3" w14:textId="77777777" w:rsidTr="000744E3">
        <w:trPr>
          <w:trHeight w:val="476"/>
        </w:trPr>
        <w:tc>
          <w:tcPr>
            <w:tcW w:w="4545" w:type="dxa"/>
            <w:tcBorders>
              <w:top w:val="single" w:sz="12" w:space="0" w:color="auto"/>
              <w:right w:val="single" w:sz="12" w:space="0" w:color="auto"/>
            </w:tcBorders>
          </w:tcPr>
          <w:p w14:paraId="1D975559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Perceived Usefulness</w:t>
            </w:r>
          </w:p>
        </w:tc>
        <w:tc>
          <w:tcPr>
            <w:tcW w:w="27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B20807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0.32–0.45</w:t>
            </w:r>
          </w:p>
        </w:tc>
        <w:tc>
          <w:tcPr>
            <w:tcW w:w="2753" w:type="dxa"/>
            <w:tcBorders>
              <w:top w:val="single" w:sz="12" w:space="0" w:color="auto"/>
              <w:left w:val="single" w:sz="12" w:space="0" w:color="auto"/>
            </w:tcBorders>
          </w:tcPr>
          <w:p w14:paraId="35EAE66F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2.22–3.12</w:t>
            </w:r>
          </w:p>
        </w:tc>
      </w:tr>
      <w:tr w:rsidR="00E5361A" w:rsidRPr="000744E3" w14:paraId="2822E2B3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30F7B8B9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Perceived Ease of Use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2A76649B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0.35–0.48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1AFE4828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2.08–2.85</w:t>
            </w:r>
          </w:p>
        </w:tc>
      </w:tr>
      <w:tr w:rsidR="00E5361A" w:rsidRPr="000744E3" w14:paraId="5CA0AF22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5D5FC165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Risk Perceptions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3D8B2DC3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0.40–0.52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1F67652A" w14:textId="77777777" w:rsidR="00E5361A" w:rsidRPr="000744E3" w:rsidRDefault="001945EB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1.92–2.50</w:t>
            </w:r>
          </w:p>
        </w:tc>
      </w:tr>
      <w:tr w:rsidR="00E5361A" w:rsidRPr="000744E3" w14:paraId="26B1B03B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1B6B9202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Behavioral Intentions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08CD045D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0.38–0.50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3C2D08A7" w14:textId="77777777" w:rsidR="00E5361A" w:rsidRPr="000744E3" w:rsidRDefault="001945EB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2.00–2.63</w:t>
            </w:r>
          </w:p>
        </w:tc>
      </w:tr>
      <w:tr w:rsidR="00E5361A" w:rsidRPr="000744E3" w14:paraId="5CD4BB46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09C29ECE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Awareness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0A52F05F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0.30–0.42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2ADC3472" w14:textId="77777777" w:rsidR="00E5361A" w:rsidRPr="000744E3" w:rsidRDefault="001945EB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2.38–3.33</w:t>
            </w:r>
          </w:p>
        </w:tc>
      </w:tr>
      <w:tr w:rsidR="00E5361A" w:rsidRPr="000744E3" w14:paraId="62A6B7AF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68215FAB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Attitudes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63600AE5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0.25–0.35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768EE2FB" w14:textId="77777777" w:rsidR="00E5361A" w:rsidRPr="000744E3" w:rsidRDefault="001945EB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2.86–4.00</w:t>
            </w:r>
          </w:p>
        </w:tc>
      </w:tr>
      <w:tr w:rsidR="00E5361A" w:rsidRPr="000744E3" w14:paraId="41E88933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30E1A232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Motivation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5B182809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0.45–0.60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48C4D33C" w14:textId="77777777" w:rsidR="00E5361A" w:rsidRPr="000744E3" w:rsidRDefault="004C7BE7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1.67–2.22</w:t>
            </w:r>
          </w:p>
        </w:tc>
      </w:tr>
      <w:tr w:rsidR="00E5361A" w:rsidRPr="000744E3" w14:paraId="0E8DE5CE" w14:textId="77777777" w:rsidTr="000744E3">
        <w:trPr>
          <w:trHeight w:val="476"/>
        </w:trPr>
        <w:tc>
          <w:tcPr>
            <w:tcW w:w="4545" w:type="dxa"/>
            <w:tcBorders>
              <w:right w:val="single" w:sz="12" w:space="0" w:color="auto"/>
            </w:tcBorders>
          </w:tcPr>
          <w:p w14:paraId="10E452A8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Overall Self-Directed Learning</w:t>
            </w:r>
          </w:p>
        </w:tc>
        <w:tc>
          <w:tcPr>
            <w:tcW w:w="2734" w:type="dxa"/>
            <w:tcBorders>
              <w:left w:val="single" w:sz="12" w:space="0" w:color="auto"/>
              <w:right w:val="single" w:sz="12" w:space="0" w:color="auto"/>
            </w:tcBorders>
          </w:tcPr>
          <w:p w14:paraId="2243A471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0.30–0.40</w:t>
            </w:r>
          </w:p>
        </w:tc>
        <w:tc>
          <w:tcPr>
            <w:tcW w:w="2753" w:type="dxa"/>
            <w:tcBorders>
              <w:left w:val="single" w:sz="12" w:space="0" w:color="auto"/>
            </w:tcBorders>
          </w:tcPr>
          <w:p w14:paraId="18083960" w14:textId="77777777" w:rsidR="00E5361A" w:rsidRPr="000744E3" w:rsidRDefault="000744E3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2.50–3.33</w:t>
            </w:r>
          </w:p>
        </w:tc>
      </w:tr>
      <w:tr w:rsidR="00E5361A" w:rsidRPr="000744E3" w14:paraId="3AF7423F" w14:textId="77777777" w:rsidTr="000744E3">
        <w:trPr>
          <w:trHeight w:val="476"/>
        </w:trPr>
        <w:tc>
          <w:tcPr>
            <w:tcW w:w="4545" w:type="dxa"/>
            <w:tcBorders>
              <w:bottom w:val="single" w:sz="12" w:space="0" w:color="auto"/>
              <w:right w:val="single" w:sz="12" w:space="0" w:color="auto"/>
            </w:tcBorders>
          </w:tcPr>
          <w:p w14:paraId="74B5BFB6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Overall AI Acceptance</w:t>
            </w:r>
          </w:p>
        </w:tc>
        <w:tc>
          <w:tcPr>
            <w:tcW w:w="27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8ABF0" w14:textId="77777777" w:rsidR="00E5361A" w:rsidRPr="000744E3" w:rsidRDefault="00E5361A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0.32–0.45</w:t>
            </w:r>
          </w:p>
        </w:tc>
        <w:tc>
          <w:tcPr>
            <w:tcW w:w="2753" w:type="dxa"/>
            <w:tcBorders>
              <w:left w:val="single" w:sz="12" w:space="0" w:color="auto"/>
              <w:bottom w:val="single" w:sz="12" w:space="0" w:color="auto"/>
            </w:tcBorders>
          </w:tcPr>
          <w:p w14:paraId="45391C16" w14:textId="77777777" w:rsidR="00E5361A" w:rsidRPr="000744E3" w:rsidRDefault="000744E3" w:rsidP="00074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44E3">
              <w:rPr>
                <w:rFonts w:asciiTheme="majorBidi" w:hAnsiTheme="majorBidi" w:cstheme="majorBidi"/>
                <w:sz w:val="24"/>
                <w:szCs w:val="24"/>
              </w:rPr>
              <w:t>2.22–3.12</w:t>
            </w:r>
          </w:p>
        </w:tc>
      </w:tr>
    </w:tbl>
    <w:p w14:paraId="3AB544F4" w14:textId="77777777" w:rsidR="00E5361A" w:rsidRPr="000744E3" w:rsidRDefault="000744E3" w:rsidP="000744E3">
      <w:pPr>
        <w:rPr>
          <w:rFonts w:asciiTheme="majorBidi" w:hAnsiTheme="majorBidi" w:cstheme="majorBidi"/>
          <w:sz w:val="20"/>
          <w:szCs w:val="20"/>
        </w:rPr>
      </w:pPr>
      <w:r w:rsidRPr="000744E3">
        <w:rPr>
          <w:rFonts w:asciiTheme="majorBidi" w:hAnsiTheme="majorBidi" w:cstheme="majorBidi"/>
          <w:b/>
          <w:bCs/>
          <w:sz w:val="20"/>
          <w:szCs w:val="20"/>
        </w:rPr>
        <w:t>VIF:</w:t>
      </w:r>
      <w:r w:rsidRPr="000744E3">
        <w:rPr>
          <w:rFonts w:asciiTheme="majorBidi" w:hAnsiTheme="majorBidi" w:cstheme="majorBidi"/>
          <w:sz w:val="20"/>
          <w:szCs w:val="20"/>
        </w:rPr>
        <w:t xml:space="preserve"> Variance Inflation Factor; values &lt; 5 indicate acceptable levels of multicollinearity. </w:t>
      </w:r>
      <w:r w:rsidRPr="000744E3">
        <w:rPr>
          <w:rFonts w:asciiTheme="majorBidi" w:hAnsiTheme="majorBidi" w:cstheme="majorBidi"/>
          <w:b/>
          <w:bCs/>
          <w:sz w:val="20"/>
          <w:szCs w:val="20"/>
        </w:rPr>
        <w:t>Tolerance:</w:t>
      </w:r>
      <w:r w:rsidRPr="000744E3">
        <w:rPr>
          <w:rFonts w:asciiTheme="majorBidi" w:hAnsiTheme="majorBidi" w:cstheme="majorBidi"/>
          <w:sz w:val="20"/>
          <w:szCs w:val="20"/>
        </w:rPr>
        <w:t xml:space="preserve"> reciprocal of VIF; tolerance values &gt; 0.20 indicate no multicollinearity concerns.</w:t>
      </w:r>
    </w:p>
    <w:sectPr w:rsidR="00E5361A" w:rsidRPr="000744E3" w:rsidSect="00E5361A">
      <w:pgSz w:w="12240" w:h="15840"/>
      <w:pgMar w:top="47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61A"/>
    <w:rsid w:val="000744E3"/>
    <w:rsid w:val="001945EB"/>
    <w:rsid w:val="001D48F2"/>
    <w:rsid w:val="0030182A"/>
    <w:rsid w:val="004C7BE7"/>
    <w:rsid w:val="005761D1"/>
    <w:rsid w:val="00C06735"/>
    <w:rsid w:val="00D17650"/>
    <w:rsid w:val="00E5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52979"/>
  <w15:docId w15:val="{6F9577A2-3AF1-4526-8C56-649D327F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5361A"/>
  </w:style>
  <w:style w:type="table" w:styleId="TableGrid">
    <w:name w:val="Table Grid"/>
    <w:basedOn w:val="TableNormal"/>
    <w:uiPriority w:val="59"/>
    <w:rsid w:val="00E5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761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Bushra</dc:creator>
  <cp:lastModifiedBy>Ahmed Abdelwahab</cp:lastModifiedBy>
  <cp:revision>2</cp:revision>
  <dcterms:created xsi:type="dcterms:W3CDTF">2026-04-10T11:51:00Z</dcterms:created>
  <dcterms:modified xsi:type="dcterms:W3CDTF">2026-04-13T19:39:00Z</dcterms:modified>
</cp:coreProperties>
</file>