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72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Appendix 4: Detailed Results of Meta-Regression Analyses</w:t>
      </w:r>
    </w:p>
    <w:p w14:paraId="44EEF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1. Meta-regression for basic knowledge (clinical medical students)</w:t>
      </w:r>
    </w:p>
    <w:p w14:paraId="31991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Covariates: </w:t>
      </w:r>
      <w:r>
        <w:rPr>
          <w:rFonts w:hint="default" w:ascii="Times New Roman" w:hAnsi="Times New Roman" w:cs="Times New Roman"/>
        </w:rPr>
        <w:t>Country of subjects, intervention of experimental/control group, grade, follow-up</w:t>
      </w:r>
      <w:r>
        <w:rPr>
          <w:rFonts w:hint="eastAsia" w:ascii="Times New Roman" w:hAnsi="Times New Roman" w:cs="Times New Roman"/>
          <w:lang w:val="en-US" w:eastAsia="zh-CN"/>
        </w:rPr>
        <w:t xml:space="preserve"> days</w:t>
      </w:r>
      <w:r>
        <w:rPr>
          <w:rFonts w:hint="default" w:ascii="Times New Roman" w:hAnsi="Times New Roman" w:cs="Times New Roman"/>
        </w:rPr>
        <w:t>, outcome</w:t>
      </w:r>
      <w:r>
        <w:rPr>
          <w:rFonts w:hint="eastAsia" w:ascii="Times New Roman" w:hAnsi="Times New Roman" w:cs="Times New Roman"/>
          <w:lang w:val="en-US" w:eastAsia="zh-CN"/>
        </w:rPr>
        <w:t xml:space="preserve"> type</w:t>
      </w:r>
      <w:r>
        <w:rPr>
          <w:rFonts w:hint="default" w:ascii="Times New Roman" w:hAnsi="Times New Roman" w:cs="Times New Roman"/>
        </w:rPr>
        <w:t>, role of GenAI, major, study type, sample size</w:t>
      </w:r>
    </w:p>
    <w:p w14:paraId="49F5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/>
          <w:bCs/>
        </w:rPr>
        <w:t xml:space="preserve">Multicollinearity: </w:t>
      </w:r>
      <w:r>
        <w:rPr>
          <w:rFonts w:hint="default" w:ascii="Times New Roman" w:hAnsi="Times New Roman" w:cs="Times New Roman"/>
          <w:b w:val="0"/>
          <w:bCs w:val="0"/>
        </w:rPr>
        <w:t xml:space="preserve">No covariates were excluded, but moderate collinearity was observed. </w:t>
      </w:r>
      <w:r>
        <w:rPr>
          <w:rFonts w:hint="default" w:ascii="Times New Roman" w:hAnsi="Times New Roman" w:cs="Times New Roman"/>
          <w:b/>
          <w:bCs/>
        </w:rPr>
        <w:t>Remaining covariates:</w:t>
      </w:r>
      <w:r>
        <w:rPr>
          <w:rFonts w:hint="default" w:ascii="Times New Roman" w:hAnsi="Times New Roman" w:cs="Times New Roman"/>
          <w:b w:val="0"/>
          <w:bCs w:val="0"/>
        </w:rPr>
        <w:t xml:space="preserve"> Country of subjects’ origin (VIF = 5.01), study type (VIF = 17.34), intervention measures for experimental group (VIF = 5.43), intervention measures for control group (VIF = 3.12), grade (VIF = 6.81), study quality (VIF = 29.95), follow-up duration (VIF = 3.61), sample size (VIF = 8.30), outcome type (VIF = 3.50), role of GenAI (VIF = 8.86), major (VIF = 1.92); mean VIF = 8.53 (moderate collinearity, with study quality and study type showing elevated VIF values)</w:t>
      </w:r>
    </w:p>
    <w:p w14:paraId="27242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Model fit (metareg, REML): </w:t>
      </w:r>
      <w:r>
        <w:rPr>
          <w:rFonts w:hint="default" w:ascii="Times New Roman" w:hAnsi="Times New Roman" w:cs="Times New Roman"/>
          <w:b w:val="0"/>
          <w:bCs w:val="0"/>
        </w:rPr>
        <w:t xml:space="preserve">Adjusted R² =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25.12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%; residual I² =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90.08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%, τ² = 0.45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96</w:t>
      </w:r>
    </w:p>
    <w:p w14:paraId="3325E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/>
          <w:bCs/>
        </w:rPr>
        <w:t>Overall significance:</w:t>
      </w:r>
      <w:r>
        <w:rPr>
          <w:rFonts w:hint="default" w:ascii="Times New Roman" w:hAnsi="Times New Roman" w:cs="Times New Roman"/>
          <w:b w:val="0"/>
          <w:bCs w:val="0"/>
        </w:rPr>
        <w:t xml:space="preserve"> F(11, 9) = 1.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61</w:t>
      </w:r>
      <w:r>
        <w:rPr>
          <w:rFonts w:hint="default" w:ascii="Times New Roman" w:hAnsi="Times New Roman" w:cs="Times New Roman"/>
          <w:b w:val="0"/>
          <w:bCs w:val="0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419</w:t>
      </w:r>
      <w:r>
        <w:rPr>
          <w:rFonts w:hint="default" w:ascii="Times New Roman" w:hAnsi="Times New Roman" w:cs="Times New Roman"/>
          <w:b w:val="0"/>
          <w:bCs w:val="0"/>
        </w:rPr>
        <w:t xml:space="preserve"> (covariates collectively not statistically significant)</w:t>
      </w:r>
    </w:p>
    <w:p w14:paraId="36811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Significant individual covariates:</w:t>
      </w:r>
    </w:p>
    <w:p w14:paraId="51E6E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Study type (regression coefficient = -3.5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75</w:t>
      </w:r>
      <w:r>
        <w:rPr>
          <w:rFonts w:hint="default" w:ascii="Times New Roman" w:hAnsi="Times New Roman" w:cs="Times New Roman"/>
          <w:b w:val="0"/>
          <w:bCs w:val="0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0.03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0</w:t>
      </w:r>
      <w:r>
        <w:rPr>
          <w:rFonts w:hint="default" w:ascii="Times New Roman" w:hAnsi="Times New Roman" w:cs="Times New Roman"/>
          <w:b w:val="0"/>
          <w:bCs w:val="0"/>
        </w:rPr>
        <w:t>)</w:t>
      </w:r>
    </w:p>
    <w:p w14:paraId="1BF78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Non-significant covariates:</w:t>
      </w:r>
    </w:p>
    <w:p w14:paraId="573A1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Country of subjects’ origin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0.1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28</w:t>
      </w:r>
      <w:r>
        <w:rPr>
          <w:rFonts w:hint="default" w:ascii="Times New Roman" w:hAnsi="Times New Roman" w:cs="Times New Roman"/>
          <w:b w:val="0"/>
          <w:bCs w:val="0"/>
        </w:rPr>
        <w:t>), intervention measures for experimental group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814</w:t>
      </w:r>
      <w:r>
        <w:rPr>
          <w:rFonts w:hint="default" w:ascii="Times New Roman" w:hAnsi="Times New Roman" w:cs="Times New Roman"/>
          <w:b w:val="0"/>
          <w:bCs w:val="0"/>
        </w:rPr>
        <w:t>), intervention measures for control group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73</w:t>
      </w:r>
      <w:r>
        <w:rPr>
          <w:rFonts w:hint="default" w:ascii="Times New Roman" w:hAnsi="Times New Roman" w:cs="Times New Roman"/>
          <w:b w:val="0"/>
          <w:bCs w:val="0"/>
        </w:rPr>
        <w:t>), grade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0.4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20</w:t>
      </w:r>
      <w:r>
        <w:rPr>
          <w:rFonts w:hint="default" w:ascii="Times New Roman" w:hAnsi="Times New Roman" w:cs="Times New Roman"/>
          <w:b w:val="0"/>
          <w:bCs w:val="0"/>
        </w:rPr>
        <w:t>), study quality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373</w:t>
      </w:r>
      <w:r>
        <w:rPr>
          <w:rFonts w:hint="default" w:ascii="Times New Roman" w:hAnsi="Times New Roman" w:cs="Times New Roman"/>
          <w:b w:val="0"/>
          <w:bCs w:val="0"/>
        </w:rPr>
        <w:t xml:space="preserve">), follow-up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days</w:t>
      </w:r>
      <w:r>
        <w:rPr>
          <w:rFonts w:hint="default" w:ascii="Times New Roman" w:hAnsi="Times New Roman" w:cs="Times New Roman"/>
          <w:b w:val="0"/>
          <w:bCs w:val="0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847</w:t>
      </w:r>
      <w:r>
        <w:rPr>
          <w:rFonts w:hint="default" w:ascii="Times New Roman" w:hAnsi="Times New Roman" w:cs="Times New Roman"/>
          <w:b w:val="0"/>
          <w:bCs w:val="0"/>
        </w:rPr>
        <w:t>), sample size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29</w:t>
      </w:r>
      <w:r>
        <w:rPr>
          <w:rFonts w:hint="default" w:ascii="Times New Roman" w:hAnsi="Times New Roman" w:cs="Times New Roman"/>
          <w:b w:val="0"/>
          <w:bCs w:val="0"/>
        </w:rPr>
        <w:t>), outcome type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26</w:t>
      </w:r>
      <w:r>
        <w:rPr>
          <w:rFonts w:hint="default" w:ascii="Times New Roman" w:hAnsi="Times New Roman" w:cs="Times New Roman"/>
          <w:b w:val="0"/>
          <w:bCs w:val="0"/>
        </w:rPr>
        <w:t>), role of GenAI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187</w:t>
      </w:r>
      <w:r>
        <w:rPr>
          <w:rFonts w:hint="default" w:ascii="Times New Roman" w:hAnsi="Times New Roman" w:cs="Times New Roman"/>
          <w:b w:val="0"/>
          <w:bCs w:val="0"/>
        </w:rPr>
        <w:t>), major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= 0.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526</w:t>
      </w:r>
      <w:r>
        <w:rPr>
          <w:rFonts w:hint="default" w:ascii="Times New Roman" w:hAnsi="Times New Roman" w:cs="Times New Roman"/>
          <w:b w:val="0"/>
          <w:bCs w:val="0"/>
        </w:rPr>
        <w:t>)</w:t>
      </w:r>
    </w:p>
    <w:p w14:paraId="56E48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2405" cy="4032885"/>
            <wp:effectExtent l="0" t="0" r="4445" b="5715"/>
            <wp:docPr id="2" name="图片 2" descr="9924d87c-66ac-4af8-95b9-7dcba7c5de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24d87c-66ac-4af8-95b9-7dcba7c5dea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 S1 The results of the collinearity analysis of confounding variables regarding the impact of GenAI on basic knowledge of undergraduate medical students.</w:t>
      </w:r>
    </w:p>
    <w:p w14:paraId="26652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4310" cy="1936750"/>
            <wp:effectExtent l="0" t="0" r="2540" b="6350"/>
            <wp:docPr id="3" name="图片 3" descr="9c4d8819-255e-45e8-9c81-b018735c4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c4d8819-255e-45e8-9c81-b018735c4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Figure S2 </w:t>
      </w:r>
      <w:r>
        <w:rPr>
          <w:rFonts w:ascii="Times New Roman" w:hAnsi="Times New Roman" w:cs="Times New Roman"/>
          <w:sz w:val="24"/>
          <w:szCs w:val="24"/>
        </w:rPr>
        <w:t>The results of the meta-regression analysis on the impact of GenAI on basic knowledge of undergraduate medical students</w:t>
      </w:r>
    </w:p>
    <w:p w14:paraId="28EEB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>2. Meta-regression for clinical skills (clinical medicine students)</w:t>
      </w:r>
    </w:p>
    <w:p w14:paraId="045B0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Initial covariates: 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>Country of subjects' origin, sample size, grade, intervention measures for experimental group, intervention measures for control group, role of GenAI in the teaching process, outcome type, follow-up duration, major</w:t>
      </w:r>
    </w:p>
    <w:p w14:paraId="585E1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Multicollinearity diagnosis and covariate selection: 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>The initial model including all nine covariates exhibited severe multicollinearity (mean VIF = 132.79), with the role of GenAI in the teaching process (VIF = 509.97), intervention measures for experimental group (VIF = 180.72), intervention measures for control group (VIF = 116.97), and grade (VIF = 99.48) showing extreme variance inflation. After sequentially removing covariates with VIF exceeding acceptable thresholds, the role of GenAI in the teaching process was first excluded due to near-perfect collinearity with intervention measures for experimental group. In the second-step model, major was excluded owing to persistent high VIF (86.50). The final model retained seven covariates: country of subjects' origin (VIF = 2.99), sample size (VIF = 1.68), grade (VIF = 12.70), intervention measures for experimental group (VIF = 34.25), intervention measures for control group (VIF = 8.19), outcome type (VIF = 9.70), and follow-up duration (VIF = 2.15), with improved collinearity (mean VIF = 25.16). Given the exploratory nature of this analysis and the limited number of studies (n = 15), all seven covariates were retained in the final model to avoid overfitting while preserving potentially relevant moderators.</w:t>
      </w:r>
    </w:p>
    <w:p w14:paraId="6426F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Model fit (metareg, REML with Knapp-Hartung modification): 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>Adjusted R² = 75.59%; residual I² = 66.90%; τ² = 0.1966</w:t>
      </w:r>
    </w:p>
    <w:p w14:paraId="3756F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>Overall significance: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 xml:space="preserve"> F(7, 7) = 5.03,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 xml:space="preserve"> = 0.0245 (covariates collectively statistically significant)</w:t>
      </w:r>
    </w:p>
    <w:p w14:paraId="1D01C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>Significant individual covariates:</w:t>
      </w:r>
    </w:p>
    <w:p w14:paraId="5BBDC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Country of subjects’ origin (regression coefficient = -0.748,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 = 0.001)</w:t>
      </w:r>
    </w:p>
    <w:p w14:paraId="6949E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Outcome type (regression coefficient = 0.615,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 = 0.009)</w:t>
      </w:r>
    </w:p>
    <w:p w14:paraId="40DB4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Sample size (regression coefficient = 0.012,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 = 0.022)</w:t>
      </w:r>
    </w:p>
    <w:p w14:paraId="645E1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Grade (regression coefficient = 0.287,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8"/>
          <w:lang w:val="en-US" w:eastAsia="zh-CN"/>
        </w:rPr>
        <w:t xml:space="preserve"> = 0.026)</w:t>
      </w:r>
    </w:p>
    <w:p w14:paraId="75237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Non-significant covariates: </w:t>
      </w:r>
    </w:p>
    <w:p w14:paraId="4FA9A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>Intervention measures for experimental group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 xml:space="preserve"> = 0.883), intervention measures for control group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 xml:space="preserve"> = 0.803), follow-up duration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8"/>
          <w:lang w:val="en-US" w:eastAsia="zh-CN"/>
        </w:rPr>
        <w:t xml:space="preserve"> = 0.436)</w:t>
      </w:r>
    </w:p>
    <w:p w14:paraId="5F800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drawing>
          <wp:inline distT="0" distB="0" distL="114300" distR="114300">
            <wp:extent cx="5115560" cy="3204210"/>
            <wp:effectExtent l="0" t="0" r="8890" b="15240"/>
            <wp:docPr id="10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238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drawing>
          <wp:inline distT="0" distB="0" distL="114300" distR="114300">
            <wp:extent cx="5234940" cy="3947160"/>
            <wp:effectExtent l="0" t="0" r="3810" b="15240"/>
            <wp:docPr id="11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199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drawing>
          <wp:inline distT="0" distB="0" distL="114300" distR="114300">
            <wp:extent cx="5260340" cy="3823970"/>
            <wp:effectExtent l="0" t="0" r="16510" b="5080"/>
            <wp:docPr id="12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82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C2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Figure S3 </w:t>
      </w:r>
      <w:r>
        <w:rPr>
          <w:rFonts w:ascii="Times New Roman" w:hAnsi="Times New Roman" w:cs="Times New Roman"/>
          <w:sz w:val="24"/>
          <w:szCs w:val="24"/>
        </w:rPr>
        <w:t>The results of the collinearity analysis of confounding variables regarding the impact of GenAI on clinical skills of undergraduate medical students.</w:t>
      </w:r>
    </w:p>
    <w:p w14:paraId="73A5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bookmarkStart w:id="1" w:name="_GoBack"/>
      <w:bookmarkEnd w:id="1"/>
      <w:r>
        <w:drawing>
          <wp:inline distT="0" distB="0" distL="114300" distR="114300">
            <wp:extent cx="5614035" cy="2044065"/>
            <wp:effectExtent l="0" t="0" r="5715" b="13335"/>
            <wp:docPr id="13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6B9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OLE_LINK106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Figure S4 </w:t>
      </w:r>
      <w:r>
        <w:rPr>
          <w:rFonts w:ascii="Times New Roman" w:hAnsi="Times New Roman" w:cs="Times New Roman"/>
          <w:sz w:val="24"/>
          <w:szCs w:val="24"/>
        </w:rPr>
        <w:t>The results of the meta-regression analysis on the impact of GenAI on clinical skill of undergraduate medical students</w:t>
      </w:r>
    </w:p>
    <w:bookmarkEnd w:id="0"/>
    <w:p w14:paraId="271A0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14:paraId="1D6A4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E4"/>
    <w:rsid w:val="000C6558"/>
    <w:rsid w:val="0021061D"/>
    <w:rsid w:val="004143E4"/>
    <w:rsid w:val="00460FE2"/>
    <w:rsid w:val="005544F1"/>
    <w:rsid w:val="005A6DEA"/>
    <w:rsid w:val="005B04FA"/>
    <w:rsid w:val="0075364B"/>
    <w:rsid w:val="007B4C4A"/>
    <w:rsid w:val="008C2B73"/>
    <w:rsid w:val="00C97581"/>
    <w:rsid w:val="00CA0C8E"/>
    <w:rsid w:val="00DB106F"/>
    <w:rsid w:val="00F95146"/>
    <w:rsid w:val="00FD3358"/>
    <w:rsid w:val="00FE109B"/>
    <w:rsid w:val="04F03C97"/>
    <w:rsid w:val="05A827C4"/>
    <w:rsid w:val="0D4C612B"/>
    <w:rsid w:val="10FF6E3B"/>
    <w:rsid w:val="1E8628EA"/>
    <w:rsid w:val="1EF02DBA"/>
    <w:rsid w:val="1F9B78AB"/>
    <w:rsid w:val="21EF09B5"/>
    <w:rsid w:val="22CF2883"/>
    <w:rsid w:val="280C7810"/>
    <w:rsid w:val="28E120D3"/>
    <w:rsid w:val="29C235A5"/>
    <w:rsid w:val="312241A9"/>
    <w:rsid w:val="326660F9"/>
    <w:rsid w:val="372E64CC"/>
    <w:rsid w:val="383A7D0C"/>
    <w:rsid w:val="38F8669B"/>
    <w:rsid w:val="39EC07BA"/>
    <w:rsid w:val="3B0C4EB4"/>
    <w:rsid w:val="3BF372B2"/>
    <w:rsid w:val="3F9B36A3"/>
    <w:rsid w:val="42B17F68"/>
    <w:rsid w:val="4B343E79"/>
    <w:rsid w:val="4B8108F6"/>
    <w:rsid w:val="50C535A5"/>
    <w:rsid w:val="53FF0DCE"/>
    <w:rsid w:val="593B36F7"/>
    <w:rsid w:val="5B357DE1"/>
    <w:rsid w:val="5C7165E1"/>
    <w:rsid w:val="60FE423A"/>
    <w:rsid w:val="65233BF1"/>
    <w:rsid w:val="691A0BB1"/>
    <w:rsid w:val="69366833"/>
    <w:rsid w:val="745D5FD8"/>
    <w:rsid w:val="74D5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482</Words>
  <Characters>2783</Characters>
  <Lines>50</Lines>
  <Paragraphs>4</Paragraphs>
  <TotalTime>6</TotalTime>
  <ScaleCrop>false</ScaleCrop>
  <LinksUpToDate>false</LinksUpToDate>
  <CharactersWithSpaces>3242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2026-01-12T05:18:00Z</dcterms:created>
  <dc:creator>谢官莉</dc:creator>
  <cp:lastModifiedBy>谢官莉</cp:lastModifiedBy>
  <dcterms:modified xsi:type="dcterms:W3CDTF">2026-04-30T02:33:19Z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C1456F0B3E7A496AB36F690414958E90_13</vt:lpwstr>
  </property>
  <property fmtid="{D5CDD505-2E9C-101B-9397-08002B2CF9AE}" pid="4" name="KSOTemplateDocerSaveRecord">
    <vt:lpwstr>eyJoZGlkIjoiZjNhZjI2ZWY5ZmVhNzQwZGE5ODllYjM3ZDUzOWQxNTkiLCJ1c2VySWQiOiIxNjY0OTQ4NTExIn0=</vt:lpwstr>
  </property>
</Properties>
</file>