
<file path=[Content_Types].xml><?xml version="1.0" encoding="utf-8"?>
<Types xmlns="http://schemas.openxmlformats.org/package/2006/content-types">
  <Default Extension="png" ContentType="image/png"/>
  <Default Extension="tiff" ContentType="image/tif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8C6073">
      <w:pPr>
        <w:rPr>
          <w:rFonts w:hint="default" w:ascii="Times New Roman" w:hAnsi="Times New Roman" w:cs="Times New Roman"/>
          <w:lang w:val="en-US" w:eastAsia="zh-CN"/>
        </w:rPr>
      </w:pPr>
      <w:r>
        <w:rPr>
          <w:rFonts w:hint="default" w:ascii="Times New Roman" w:hAnsi="Times New Roman" w:cs="Times New Roman"/>
          <w:lang w:val="en-US" w:eastAsia="zh-CN"/>
        </w:rPr>
        <w:t>This supplementary file presents a comparison of the pooled effect estimates from our initial analysis and the updated analysis (search up to April 24, 2026). For knowledge acquisition among clinical medicine students, no new studies were identified in the updated search; the pooled effect therefore remained unchanged. However, a more detailed leave-one-out sensitivity analysis conducted during this revision, which included manual removal of each individual study, identified Bhatia 2024 as an influential study, the removal of which rendered the previously non-significant effect statistically significant. For clinical skills among clinical medicine students, the inclusion of seven newly published studies</w:t>
      </w:r>
      <w:r>
        <w:rPr>
          <w:rFonts w:hint="eastAsia" w:ascii="Times New Roman" w:hAnsi="Times New Roman" w:cs="Times New Roman"/>
          <w:lang w:val="en-US" w:eastAsia="zh-CN"/>
        </w:rPr>
        <w:t xml:space="preserve">, </w:t>
      </w:r>
      <w:r>
        <w:rPr>
          <w:rFonts w:hint="default" w:ascii="Times New Roman" w:hAnsi="Times New Roman" w:cs="Times New Roman"/>
          <w:lang w:val="en-US" w:eastAsia="zh-CN"/>
        </w:rPr>
        <w:t>most notably Briones-Zamora 2026, which assessed fine procedural suturing skill</w:t>
      </w:r>
      <w:r>
        <w:rPr>
          <w:rFonts w:hint="eastAsia" w:ascii="Times New Roman" w:hAnsi="Times New Roman" w:cs="Times New Roman"/>
          <w:lang w:val="en-US" w:eastAsia="zh-CN"/>
        </w:rPr>
        <w:t xml:space="preserve">, </w:t>
      </w:r>
      <w:r>
        <w:rPr>
          <w:rFonts w:hint="default" w:ascii="Times New Roman" w:hAnsi="Times New Roman" w:cs="Times New Roman"/>
          <w:lang w:val="en-US" w:eastAsia="zh-CN"/>
        </w:rPr>
        <w:t>attenuated the previously significant pooled effect to non-significance. All other outcomes (knowledge among nursing students, clinical skills among nursing students, and academic writing) remained unchanged.</w:t>
      </w:r>
    </w:p>
    <w:p w14:paraId="59587E32">
      <w:pPr>
        <w:rPr>
          <w:rFonts w:hint="default" w:ascii="Times New Roman" w:hAnsi="Times New Roman" w:cs="Times New Roman"/>
          <w:lang w:val="en-US" w:eastAsia="zh-CN"/>
        </w:rPr>
      </w:pPr>
      <w:r>
        <w:rPr>
          <w:rFonts w:hint="default" w:ascii="Times New Roman" w:hAnsi="Times New Roman" w:cs="Times New Roman"/>
          <w:lang w:val="en-US" w:eastAsia="zh-CN"/>
        </w:rPr>
        <w:t>Supplementary Table S1. Comparison of pooled effect estimates before and after the updated literature search.</w:t>
      </w:r>
    </w:p>
    <w:tbl>
      <w:tblPr>
        <w:tblW w:w="1379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108" w:type="dxa"/>
          <w:bottom w:w="0" w:type="dxa"/>
          <w:right w:w="108" w:type="dxa"/>
        </w:tblCellMar>
      </w:tblPr>
      <w:tblGrid>
        <w:gridCol w:w="1727"/>
        <w:gridCol w:w="3138"/>
        <w:gridCol w:w="3138"/>
        <w:gridCol w:w="2017"/>
        <w:gridCol w:w="3771"/>
      </w:tblGrid>
      <w:tr w14:paraId="161CEE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jc w:val="center"/>
        </w:trPr>
        <w:tc>
          <w:tcPr>
            <w:tcW w:w="1727" w:type="dxa"/>
            <w:tcBorders>
              <w:top w:val="single" w:color="000000" w:sz="4" w:space="0"/>
              <w:left w:val="single" w:color="000000" w:sz="4" w:space="0"/>
              <w:bottom w:val="single" w:color="000000" w:sz="4" w:space="0"/>
              <w:right w:val="single" w:color="000000" w:sz="4" w:space="0"/>
            </w:tcBorders>
            <w:shd w:val="clear"/>
            <w:noWrap/>
            <w:vAlign w:val="center"/>
          </w:tcPr>
          <w:p w14:paraId="0A659549">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bdr w:val="none" w:color="auto" w:sz="0" w:space="0"/>
                <w:lang w:val="en-US" w:eastAsia="zh-CN" w:bidi="ar"/>
              </w:rPr>
              <w:t>Outcome</w:t>
            </w:r>
          </w:p>
        </w:tc>
        <w:tc>
          <w:tcPr>
            <w:tcW w:w="3138" w:type="dxa"/>
            <w:tcBorders>
              <w:top w:val="single" w:color="000000" w:sz="4" w:space="0"/>
              <w:left w:val="single" w:color="000000" w:sz="4" w:space="0"/>
              <w:bottom w:val="single" w:color="000000" w:sz="4" w:space="0"/>
              <w:right w:val="single" w:color="000000" w:sz="4" w:space="0"/>
            </w:tcBorders>
            <w:shd w:val="clear"/>
            <w:noWrap/>
            <w:vAlign w:val="center"/>
          </w:tcPr>
          <w:p w14:paraId="2A5F90DE">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bdr w:val="none" w:color="auto" w:sz="0" w:space="0"/>
                <w:lang w:val="en-US" w:eastAsia="zh-CN" w:bidi="ar"/>
              </w:rPr>
              <w:t>Initial analysis</w:t>
            </w:r>
          </w:p>
        </w:tc>
        <w:tc>
          <w:tcPr>
            <w:tcW w:w="3138" w:type="dxa"/>
            <w:tcBorders>
              <w:top w:val="single" w:color="000000" w:sz="4" w:space="0"/>
              <w:left w:val="single" w:color="000000" w:sz="4" w:space="0"/>
              <w:bottom w:val="single" w:color="000000" w:sz="4" w:space="0"/>
              <w:right w:val="single" w:color="000000" w:sz="4" w:space="0"/>
            </w:tcBorders>
            <w:shd w:val="clear"/>
            <w:noWrap/>
            <w:vAlign w:val="center"/>
          </w:tcPr>
          <w:p w14:paraId="4B07CA4A">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bdr w:val="none" w:color="auto" w:sz="0" w:space="0"/>
                <w:lang w:val="en-US" w:eastAsia="zh-CN" w:bidi="ar"/>
              </w:rPr>
              <w:t>Updated analysis (search up to April 24, 2026)</w:t>
            </w:r>
          </w:p>
        </w:tc>
        <w:tc>
          <w:tcPr>
            <w:tcW w:w="2017" w:type="dxa"/>
            <w:tcBorders>
              <w:top w:val="single" w:color="000000" w:sz="4" w:space="0"/>
              <w:left w:val="single" w:color="000000" w:sz="4" w:space="0"/>
              <w:bottom w:val="single" w:color="000000" w:sz="4" w:space="0"/>
              <w:right w:val="single" w:color="000000" w:sz="4" w:space="0"/>
            </w:tcBorders>
            <w:shd w:val="clear"/>
            <w:noWrap/>
            <w:vAlign w:val="center"/>
          </w:tcPr>
          <w:p w14:paraId="20E4E944">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bdr w:val="none" w:color="auto" w:sz="0" w:space="0"/>
                <w:lang w:val="en-US" w:eastAsia="zh-CN" w:bidi="ar"/>
              </w:rPr>
              <w:t>Direction of change</w:t>
            </w:r>
          </w:p>
        </w:tc>
        <w:tc>
          <w:tcPr>
            <w:tcW w:w="3771" w:type="dxa"/>
            <w:tcBorders>
              <w:top w:val="single" w:color="000000" w:sz="4" w:space="0"/>
              <w:left w:val="single" w:color="000000" w:sz="4" w:space="0"/>
              <w:bottom w:val="single" w:color="000000" w:sz="4" w:space="0"/>
              <w:right w:val="single" w:color="000000" w:sz="4" w:space="0"/>
            </w:tcBorders>
            <w:shd w:val="clear"/>
            <w:noWrap/>
            <w:vAlign w:val="center"/>
          </w:tcPr>
          <w:p w14:paraId="6F248AAF">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bdr w:val="none" w:color="auto" w:sz="0" w:space="0"/>
                <w:lang w:val="en-US" w:eastAsia="zh-CN" w:bidi="ar"/>
              </w:rPr>
              <w:t>Key sensitivity finding</w:t>
            </w:r>
          </w:p>
        </w:tc>
      </w:tr>
      <w:tr w14:paraId="13F7B7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jc w:val="center"/>
        </w:trPr>
        <w:tc>
          <w:tcPr>
            <w:tcW w:w="1727" w:type="dxa"/>
            <w:tcBorders>
              <w:top w:val="single" w:color="000000" w:sz="4" w:space="0"/>
              <w:left w:val="single" w:color="000000" w:sz="4" w:space="0"/>
              <w:bottom w:val="single" w:color="000000" w:sz="4" w:space="0"/>
              <w:right w:val="single" w:color="000000" w:sz="4" w:space="0"/>
            </w:tcBorders>
            <w:shd w:val="clear"/>
            <w:noWrap/>
            <w:vAlign w:val="center"/>
          </w:tcPr>
          <w:p w14:paraId="7E61E7DB">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bdr w:val="none" w:color="auto" w:sz="0" w:space="0"/>
                <w:lang w:val="en-US" w:eastAsia="zh-CN" w:bidi="ar"/>
              </w:rPr>
              <w:t>Knowledge (clinical medicine students)</w:t>
            </w:r>
          </w:p>
        </w:tc>
        <w:tc>
          <w:tcPr>
            <w:tcW w:w="3138" w:type="dxa"/>
            <w:tcBorders>
              <w:top w:val="single" w:color="000000" w:sz="4" w:space="0"/>
              <w:left w:val="single" w:color="000000" w:sz="4" w:space="0"/>
              <w:bottom w:val="single" w:color="000000" w:sz="4" w:space="0"/>
              <w:right w:val="single" w:color="000000" w:sz="4" w:space="0"/>
            </w:tcBorders>
            <w:shd w:val="clear"/>
            <w:noWrap/>
            <w:vAlign w:val="center"/>
          </w:tcPr>
          <w:p w14:paraId="5ADE1225">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bdr w:val="none" w:color="auto" w:sz="0" w:space="0"/>
                <w:lang w:val="en-US" w:eastAsia="zh-CN" w:bidi="ar"/>
              </w:rPr>
              <w:t xml:space="preserve">SMD = 0.22, 95% CI: -0.13 to 0.56, </w:t>
            </w:r>
            <w:r>
              <w:rPr>
                <w:rFonts w:hint="default" w:ascii="Times New Roman" w:hAnsi="Times New Roman" w:eastAsia="宋体" w:cs="Times New Roman"/>
                <w:i/>
                <w:iCs/>
                <w:color w:val="000000"/>
                <w:kern w:val="0"/>
                <w:sz w:val="21"/>
                <w:szCs w:val="21"/>
                <w:u w:val="none"/>
                <w:bdr w:val="none" w:color="auto" w:sz="0" w:space="0"/>
                <w:lang w:val="en-US" w:eastAsia="zh-CN" w:bidi="ar"/>
              </w:rPr>
              <w:t>P</w:t>
            </w:r>
            <w:r>
              <w:rPr>
                <w:rFonts w:hint="default" w:ascii="Times New Roman" w:hAnsi="Times New Roman" w:eastAsia="宋体" w:cs="Times New Roman"/>
                <w:i w:val="0"/>
                <w:iCs w:val="0"/>
                <w:color w:val="000000"/>
                <w:kern w:val="0"/>
                <w:sz w:val="21"/>
                <w:szCs w:val="21"/>
                <w:u w:val="none"/>
                <w:bdr w:val="none" w:color="auto" w:sz="0" w:space="0"/>
                <w:lang w:val="en-US" w:eastAsia="zh-CN" w:bidi="ar"/>
              </w:rPr>
              <w:t xml:space="preserve"> = 0.22, I² = 92%, random-effects</w:t>
            </w:r>
          </w:p>
        </w:tc>
        <w:tc>
          <w:tcPr>
            <w:tcW w:w="3138" w:type="dxa"/>
            <w:tcBorders>
              <w:top w:val="single" w:color="000000" w:sz="4" w:space="0"/>
              <w:left w:val="single" w:color="000000" w:sz="4" w:space="0"/>
              <w:bottom w:val="single" w:color="000000" w:sz="4" w:space="0"/>
              <w:right w:val="single" w:color="000000" w:sz="4" w:space="0"/>
            </w:tcBorders>
            <w:shd w:val="clear"/>
            <w:noWrap/>
            <w:vAlign w:val="center"/>
          </w:tcPr>
          <w:p w14:paraId="292973A0">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bdr w:val="none" w:color="auto" w:sz="0" w:space="0"/>
                <w:lang w:val="en-US" w:eastAsia="zh-CN" w:bidi="ar"/>
              </w:rPr>
              <w:t xml:space="preserve">SMD = 0.22, 95% CI: -0.13 to 0.56, </w:t>
            </w:r>
            <w:r>
              <w:rPr>
                <w:rFonts w:hint="default" w:ascii="Times New Roman" w:hAnsi="Times New Roman" w:eastAsia="宋体" w:cs="Times New Roman"/>
                <w:i/>
                <w:iCs/>
                <w:color w:val="000000"/>
                <w:kern w:val="0"/>
                <w:sz w:val="21"/>
                <w:szCs w:val="21"/>
                <w:u w:val="none"/>
                <w:bdr w:val="none" w:color="auto" w:sz="0" w:space="0"/>
                <w:lang w:val="en-US" w:eastAsia="zh-CN" w:bidi="ar"/>
              </w:rPr>
              <w:t>P</w:t>
            </w:r>
            <w:r>
              <w:rPr>
                <w:rFonts w:hint="default" w:ascii="Times New Roman" w:hAnsi="Times New Roman" w:eastAsia="宋体" w:cs="Times New Roman"/>
                <w:i w:val="0"/>
                <w:iCs w:val="0"/>
                <w:color w:val="000000"/>
                <w:kern w:val="0"/>
                <w:sz w:val="21"/>
                <w:szCs w:val="21"/>
                <w:u w:val="none"/>
                <w:bdr w:val="none" w:color="auto" w:sz="0" w:space="0"/>
                <w:lang w:val="en-US" w:eastAsia="zh-CN" w:bidi="ar"/>
              </w:rPr>
              <w:t xml:space="preserve"> = 0.22, I² = 92%, random-effects</w:t>
            </w:r>
          </w:p>
        </w:tc>
        <w:tc>
          <w:tcPr>
            <w:tcW w:w="2017" w:type="dxa"/>
            <w:tcBorders>
              <w:top w:val="single" w:color="000000" w:sz="4" w:space="0"/>
              <w:left w:val="single" w:color="000000" w:sz="4" w:space="0"/>
              <w:bottom w:val="single" w:color="000000" w:sz="4" w:space="0"/>
              <w:right w:val="single" w:color="000000" w:sz="4" w:space="0"/>
            </w:tcBorders>
            <w:shd w:val="clear"/>
            <w:noWrap/>
            <w:vAlign w:val="center"/>
          </w:tcPr>
          <w:p w14:paraId="08BD97D2">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bdr w:val="none" w:color="auto" w:sz="0" w:space="0"/>
                <w:lang w:val="en-US" w:eastAsia="zh-CN" w:bidi="ar"/>
              </w:rPr>
              <w:t>Unchanged</w:t>
            </w:r>
          </w:p>
        </w:tc>
        <w:tc>
          <w:tcPr>
            <w:tcW w:w="3771" w:type="dxa"/>
            <w:tcBorders>
              <w:top w:val="single" w:color="000000" w:sz="4" w:space="0"/>
              <w:left w:val="single" w:color="000000" w:sz="4" w:space="0"/>
              <w:bottom w:val="single" w:color="000000" w:sz="4" w:space="0"/>
              <w:right w:val="single" w:color="000000" w:sz="4" w:space="0"/>
            </w:tcBorders>
            <w:shd w:val="clear"/>
            <w:noWrap/>
            <w:vAlign w:val="center"/>
          </w:tcPr>
          <w:p w14:paraId="62DF40C7">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bdr w:val="none" w:color="auto" w:sz="0" w:space="0"/>
                <w:lang w:val="en-US" w:eastAsia="zh-CN" w:bidi="ar"/>
              </w:rPr>
              <w:t>Removal of Bhatia 2024 (SMD = -1.85) restored significance: SMD = 0.32, 95% CI: 0.05 to 0.</w:t>
            </w:r>
            <w:r>
              <w:rPr>
                <w:rFonts w:hint="eastAsia" w:ascii="Times New Roman" w:hAnsi="Times New Roman" w:eastAsia="宋体" w:cs="Times New Roman"/>
                <w:i w:val="0"/>
                <w:iCs w:val="0"/>
                <w:color w:val="000000"/>
                <w:kern w:val="0"/>
                <w:sz w:val="21"/>
                <w:szCs w:val="21"/>
                <w:u w:val="none"/>
                <w:bdr w:val="none" w:color="auto" w:sz="0" w:space="0"/>
                <w:lang w:val="en-US" w:eastAsia="zh-CN" w:bidi="ar"/>
              </w:rPr>
              <w:t>59</w:t>
            </w:r>
            <w:r>
              <w:rPr>
                <w:rFonts w:hint="default" w:ascii="Times New Roman" w:hAnsi="Times New Roman" w:eastAsia="宋体" w:cs="Times New Roman"/>
                <w:i w:val="0"/>
                <w:iCs w:val="0"/>
                <w:color w:val="000000"/>
                <w:kern w:val="0"/>
                <w:sz w:val="21"/>
                <w:szCs w:val="21"/>
                <w:u w:val="none"/>
                <w:bdr w:val="none" w:color="auto" w:sz="0" w:space="0"/>
                <w:lang w:val="en-US" w:eastAsia="zh-CN" w:bidi="ar"/>
              </w:rPr>
              <w:t xml:space="preserve">, </w:t>
            </w:r>
            <w:r>
              <w:rPr>
                <w:rFonts w:hint="default" w:ascii="Times New Roman" w:hAnsi="Times New Roman" w:eastAsia="宋体" w:cs="Times New Roman"/>
                <w:i/>
                <w:iCs/>
                <w:color w:val="000000"/>
                <w:kern w:val="0"/>
                <w:sz w:val="21"/>
                <w:szCs w:val="21"/>
                <w:u w:val="none"/>
                <w:bdr w:val="none" w:color="auto" w:sz="0" w:space="0"/>
                <w:lang w:val="en-US" w:eastAsia="zh-CN" w:bidi="ar"/>
              </w:rPr>
              <w:t>P</w:t>
            </w:r>
            <w:r>
              <w:rPr>
                <w:rFonts w:hint="default" w:ascii="Times New Roman" w:hAnsi="Times New Roman" w:eastAsia="宋体" w:cs="Times New Roman"/>
                <w:i w:val="0"/>
                <w:iCs w:val="0"/>
                <w:color w:val="000000"/>
                <w:kern w:val="0"/>
                <w:sz w:val="21"/>
                <w:szCs w:val="21"/>
                <w:u w:val="none"/>
                <w:bdr w:val="none" w:color="auto" w:sz="0" w:space="0"/>
                <w:lang w:val="en-US" w:eastAsia="zh-CN" w:bidi="ar"/>
              </w:rPr>
              <w:t xml:space="preserve"> </w:t>
            </w:r>
            <w:r>
              <w:rPr>
                <w:rFonts w:hint="eastAsia" w:ascii="Times New Roman" w:hAnsi="Times New Roman" w:eastAsia="宋体" w:cs="Times New Roman"/>
                <w:i w:val="0"/>
                <w:iCs w:val="0"/>
                <w:color w:val="000000"/>
                <w:kern w:val="0"/>
                <w:sz w:val="21"/>
                <w:szCs w:val="21"/>
                <w:u w:val="none"/>
                <w:bdr w:val="none" w:color="auto" w:sz="0" w:space="0"/>
                <w:lang w:val="en-US" w:eastAsia="zh-CN" w:bidi="ar"/>
              </w:rPr>
              <w:t>= 0.02</w:t>
            </w:r>
            <w:r>
              <w:rPr>
                <w:rFonts w:hint="default" w:ascii="Times New Roman" w:hAnsi="Times New Roman" w:eastAsia="宋体" w:cs="Times New Roman"/>
                <w:i w:val="0"/>
                <w:iCs w:val="0"/>
                <w:color w:val="000000"/>
                <w:kern w:val="0"/>
                <w:sz w:val="21"/>
                <w:szCs w:val="21"/>
                <w:u w:val="none"/>
                <w:bdr w:val="none" w:color="auto" w:sz="0" w:space="0"/>
                <w:lang w:val="en-US" w:eastAsia="zh-CN" w:bidi="ar"/>
              </w:rPr>
              <w:t xml:space="preserve"> </w:t>
            </w:r>
          </w:p>
        </w:tc>
      </w:tr>
      <w:tr w14:paraId="179B5B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727" w:type="dxa"/>
            <w:tcBorders>
              <w:top w:val="single" w:color="000000" w:sz="4" w:space="0"/>
              <w:left w:val="single" w:color="000000" w:sz="4" w:space="0"/>
              <w:bottom w:val="single" w:color="000000" w:sz="4" w:space="0"/>
              <w:right w:val="single" w:color="000000" w:sz="4" w:space="0"/>
            </w:tcBorders>
            <w:shd w:val="clear"/>
            <w:noWrap/>
            <w:vAlign w:val="center"/>
          </w:tcPr>
          <w:p w14:paraId="5DE997B0">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bdr w:val="none" w:color="auto" w:sz="0" w:space="0"/>
                <w:lang w:val="en-US" w:eastAsia="zh-CN" w:bidi="ar"/>
              </w:rPr>
              <w:t>Knowledge (nursing students)</w:t>
            </w:r>
          </w:p>
        </w:tc>
        <w:tc>
          <w:tcPr>
            <w:tcW w:w="3138" w:type="dxa"/>
            <w:tcBorders>
              <w:top w:val="single" w:color="000000" w:sz="4" w:space="0"/>
              <w:left w:val="single" w:color="000000" w:sz="4" w:space="0"/>
              <w:bottom w:val="single" w:color="000000" w:sz="4" w:space="0"/>
              <w:right w:val="single" w:color="000000" w:sz="4" w:space="0"/>
            </w:tcBorders>
            <w:shd w:val="clear"/>
            <w:noWrap/>
            <w:vAlign w:val="center"/>
          </w:tcPr>
          <w:p w14:paraId="067194A2">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p>
        </w:tc>
        <w:tc>
          <w:tcPr>
            <w:tcW w:w="3138" w:type="dxa"/>
            <w:tcBorders>
              <w:top w:val="single" w:color="000000" w:sz="4" w:space="0"/>
              <w:left w:val="single" w:color="000000" w:sz="4" w:space="0"/>
              <w:bottom w:val="single" w:color="000000" w:sz="4" w:space="0"/>
              <w:right w:val="single" w:color="000000" w:sz="4" w:space="0"/>
            </w:tcBorders>
            <w:shd w:val="clear"/>
            <w:noWrap/>
            <w:vAlign w:val="center"/>
          </w:tcPr>
          <w:p w14:paraId="71803D13">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 xml:space="preserve">SMD = 1.11, 95% CI: 0.54 to 1.69, </w:t>
            </w:r>
            <w:r>
              <w:rPr>
                <w:rFonts w:hint="default" w:ascii="Times New Roman" w:hAnsi="Times New Roman" w:eastAsia="宋体" w:cs="Times New Roman"/>
                <w:i/>
                <w:iCs/>
                <w:color w:val="000000"/>
                <w:kern w:val="0"/>
                <w:sz w:val="21"/>
                <w:szCs w:val="21"/>
                <w:u w:val="none"/>
                <w:lang w:val="en-US" w:eastAsia="zh-CN" w:bidi="ar"/>
              </w:rPr>
              <w:t>P</w:t>
            </w:r>
            <w:r>
              <w:rPr>
                <w:rFonts w:hint="default" w:ascii="Times New Roman" w:hAnsi="Times New Roman" w:eastAsia="宋体" w:cs="Times New Roman"/>
                <w:i w:val="0"/>
                <w:iCs w:val="0"/>
                <w:color w:val="000000"/>
                <w:kern w:val="0"/>
                <w:sz w:val="21"/>
                <w:szCs w:val="21"/>
                <w:u w:val="none"/>
                <w:lang w:val="en-US" w:eastAsia="zh-CN" w:bidi="ar"/>
              </w:rPr>
              <w:t xml:space="preserve"> = 0.0002, I² = 76%, random-effects</w:t>
            </w:r>
          </w:p>
        </w:tc>
        <w:tc>
          <w:tcPr>
            <w:tcW w:w="2017" w:type="dxa"/>
            <w:tcBorders>
              <w:top w:val="single" w:color="000000" w:sz="4" w:space="0"/>
              <w:left w:val="single" w:color="000000" w:sz="4" w:space="0"/>
              <w:bottom w:val="single" w:color="000000" w:sz="4" w:space="0"/>
              <w:right w:val="single" w:color="000000" w:sz="4" w:space="0"/>
            </w:tcBorders>
            <w:shd w:val="clear"/>
            <w:noWrap/>
            <w:vAlign w:val="center"/>
          </w:tcPr>
          <w:p w14:paraId="1BF4B6BC">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bdr w:val="none" w:color="auto" w:sz="0" w:space="0"/>
                <w:lang w:val="en-US" w:eastAsia="zh-CN" w:bidi="ar"/>
              </w:rPr>
              <w:t>Unchanged</w:t>
            </w:r>
          </w:p>
        </w:tc>
        <w:tc>
          <w:tcPr>
            <w:tcW w:w="3771" w:type="dxa"/>
            <w:tcBorders>
              <w:top w:val="single" w:color="000000" w:sz="4" w:space="0"/>
              <w:left w:val="single" w:color="000000" w:sz="4" w:space="0"/>
              <w:bottom w:val="single" w:color="000000" w:sz="4" w:space="0"/>
              <w:right w:val="single" w:color="000000" w:sz="4" w:space="0"/>
            </w:tcBorders>
            <w:shd w:val="clear"/>
            <w:noWrap/>
            <w:vAlign w:val="center"/>
          </w:tcPr>
          <w:p w14:paraId="3CBBB786">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bdr w:val="none" w:color="auto" w:sz="0" w:space="0"/>
                <w:lang w:val="en-US" w:eastAsia="zh-CN" w:bidi="ar"/>
              </w:rPr>
              <w:t>—</w:t>
            </w:r>
          </w:p>
        </w:tc>
      </w:tr>
      <w:tr w14:paraId="67A4E1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727" w:type="dxa"/>
            <w:tcBorders>
              <w:top w:val="single" w:color="000000" w:sz="4" w:space="0"/>
              <w:left w:val="single" w:color="000000" w:sz="4" w:space="0"/>
              <w:bottom w:val="single" w:color="000000" w:sz="4" w:space="0"/>
              <w:right w:val="single" w:color="000000" w:sz="4" w:space="0"/>
            </w:tcBorders>
            <w:shd w:val="clear"/>
            <w:noWrap/>
            <w:vAlign w:val="center"/>
          </w:tcPr>
          <w:p w14:paraId="3D441923">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bdr w:val="none" w:color="auto" w:sz="0" w:space="0"/>
                <w:lang w:val="en-US" w:eastAsia="zh-CN" w:bidi="ar"/>
              </w:rPr>
              <w:t>Clinical skills (clinical medicine students)</w:t>
            </w:r>
          </w:p>
        </w:tc>
        <w:tc>
          <w:tcPr>
            <w:tcW w:w="3138" w:type="dxa"/>
            <w:tcBorders>
              <w:top w:val="single" w:color="000000" w:sz="4" w:space="0"/>
              <w:left w:val="single" w:color="000000" w:sz="4" w:space="0"/>
              <w:bottom w:val="single" w:color="000000" w:sz="4" w:space="0"/>
              <w:right w:val="single" w:color="000000" w:sz="4" w:space="0"/>
            </w:tcBorders>
            <w:shd w:val="clear"/>
            <w:noWrap/>
            <w:vAlign w:val="center"/>
          </w:tcPr>
          <w:p w14:paraId="2E121517">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bdr w:val="none" w:color="auto" w:sz="0" w:space="0"/>
                <w:lang w:val="en-US" w:eastAsia="zh-CN" w:bidi="ar"/>
              </w:rPr>
              <w:t xml:space="preserve">SMD = 0.44, 95% CI: 0.06 to 0.82, </w:t>
            </w:r>
            <w:r>
              <w:rPr>
                <w:rFonts w:hint="default" w:ascii="Times New Roman" w:hAnsi="Times New Roman" w:eastAsia="宋体" w:cs="Times New Roman"/>
                <w:i/>
                <w:iCs/>
                <w:color w:val="000000"/>
                <w:kern w:val="0"/>
                <w:sz w:val="21"/>
                <w:szCs w:val="21"/>
                <w:u w:val="none"/>
                <w:bdr w:val="none" w:color="auto" w:sz="0" w:space="0"/>
                <w:lang w:val="en-US" w:eastAsia="zh-CN" w:bidi="ar"/>
              </w:rPr>
              <w:t>P</w:t>
            </w:r>
            <w:r>
              <w:rPr>
                <w:rFonts w:hint="default" w:ascii="Times New Roman" w:hAnsi="Times New Roman" w:eastAsia="宋体" w:cs="Times New Roman"/>
                <w:i w:val="0"/>
                <w:iCs w:val="0"/>
                <w:color w:val="000000"/>
                <w:kern w:val="0"/>
                <w:sz w:val="21"/>
                <w:szCs w:val="21"/>
                <w:u w:val="none"/>
                <w:bdr w:val="none" w:color="auto" w:sz="0" w:space="0"/>
                <w:lang w:val="en-US" w:eastAsia="zh-CN" w:bidi="ar"/>
              </w:rPr>
              <w:t xml:space="preserve"> = 0.02, I² = 86%, random-effects</w:t>
            </w:r>
          </w:p>
        </w:tc>
        <w:tc>
          <w:tcPr>
            <w:tcW w:w="3138" w:type="dxa"/>
            <w:tcBorders>
              <w:top w:val="single" w:color="000000" w:sz="4" w:space="0"/>
              <w:left w:val="single" w:color="000000" w:sz="4" w:space="0"/>
              <w:bottom w:val="single" w:color="000000" w:sz="4" w:space="0"/>
              <w:right w:val="single" w:color="000000" w:sz="4" w:space="0"/>
            </w:tcBorders>
            <w:shd w:val="clear"/>
            <w:noWrap/>
            <w:vAlign w:val="center"/>
          </w:tcPr>
          <w:p w14:paraId="3C92F43F">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bdr w:val="none" w:color="auto" w:sz="0" w:space="0"/>
                <w:lang w:val="en-US" w:eastAsia="zh-CN" w:bidi="ar"/>
              </w:rPr>
              <w:t xml:space="preserve">SMD = 0.25, 95% CI: -0.11 to 0.60, </w:t>
            </w:r>
            <w:r>
              <w:rPr>
                <w:rFonts w:hint="default" w:ascii="Times New Roman" w:hAnsi="Times New Roman" w:eastAsia="宋体" w:cs="Times New Roman"/>
                <w:i/>
                <w:iCs/>
                <w:color w:val="000000"/>
                <w:kern w:val="0"/>
                <w:sz w:val="21"/>
                <w:szCs w:val="21"/>
                <w:u w:val="none"/>
                <w:bdr w:val="none" w:color="auto" w:sz="0" w:space="0"/>
                <w:lang w:val="en-US" w:eastAsia="zh-CN" w:bidi="ar"/>
              </w:rPr>
              <w:t>P</w:t>
            </w:r>
            <w:r>
              <w:rPr>
                <w:rFonts w:hint="default" w:ascii="Times New Roman" w:hAnsi="Times New Roman" w:eastAsia="宋体" w:cs="Times New Roman"/>
                <w:i w:val="0"/>
                <w:iCs w:val="0"/>
                <w:color w:val="000000"/>
                <w:kern w:val="0"/>
                <w:sz w:val="21"/>
                <w:szCs w:val="21"/>
                <w:u w:val="none"/>
                <w:bdr w:val="none" w:color="auto" w:sz="0" w:space="0"/>
                <w:lang w:val="en-US" w:eastAsia="zh-CN" w:bidi="ar"/>
              </w:rPr>
              <w:t xml:space="preserve"> = 0.18, I² = 88%, random-effects</w:t>
            </w:r>
          </w:p>
        </w:tc>
        <w:tc>
          <w:tcPr>
            <w:tcW w:w="2017" w:type="dxa"/>
            <w:tcBorders>
              <w:top w:val="single" w:color="000000" w:sz="4" w:space="0"/>
              <w:left w:val="single" w:color="000000" w:sz="4" w:space="0"/>
              <w:bottom w:val="single" w:color="000000" w:sz="4" w:space="0"/>
              <w:right w:val="single" w:color="000000" w:sz="4" w:space="0"/>
            </w:tcBorders>
            <w:shd w:val="clear"/>
            <w:noWrap/>
            <w:vAlign w:val="center"/>
          </w:tcPr>
          <w:p w14:paraId="0DD20879">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bdr w:val="none" w:color="auto" w:sz="0" w:space="0"/>
                <w:lang w:val="en-US" w:eastAsia="zh-CN" w:bidi="ar"/>
              </w:rPr>
              <w:t>Significant → Non-significant</w:t>
            </w:r>
          </w:p>
        </w:tc>
        <w:tc>
          <w:tcPr>
            <w:tcW w:w="3771" w:type="dxa"/>
            <w:tcBorders>
              <w:top w:val="single" w:color="000000" w:sz="4" w:space="0"/>
              <w:left w:val="single" w:color="000000" w:sz="4" w:space="0"/>
              <w:bottom w:val="single" w:color="000000" w:sz="4" w:space="0"/>
              <w:right w:val="single" w:color="000000" w:sz="4" w:space="0"/>
            </w:tcBorders>
            <w:shd w:val="clear"/>
            <w:noWrap/>
            <w:vAlign w:val="center"/>
          </w:tcPr>
          <w:p w14:paraId="1B7C73CC">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bdr w:val="none" w:color="auto" w:sz="0" w:space="0"/>
                <w:lang w:val="en-US" w:eastAsia="zh-CN" w:bidi="ar"/>
              </w:rPr>
              <w:t xml:space="preserve">Removal of Briones-Zamora 2026 (SMD = -1.94) restored significance: SMD = 0.40, 95% CI: 0.04 to 0.76, </w:t>
            </w:r>
            <w:r>
              <w:rPr>
                <w:rFonts w:hint="default" w:ascii="Times New Roman" w:hAnsi="Times New Roman" w:eastAsia="宋体" w:cs="Times New Roman"/>
                <w:i/>
                <w:iCs/>
                <w:color w:val="000000"/>
                <w:kern w:val="0"/>
                <w:sz w:val="21"/>
                <w:szCs w:val="21"/>
                <w:u w:val="none"/>
                <w:bdr w:val="none" w:color="auto" w:sz="0" w:space="0"/>
                <w:lang w:val="en-US" w:eastAsia="zh-CN" w:bidi="ar"/>
              </w:rPr>
              <w:t>P</w:t>
            </w:r>
            <w:r>
              <w:rPr>
                <w:rFonts w:hint="default" w:ascii="Times New Roman" w:hAnsi="Times New Roman" w:eastAsia="宋体" w:cs="Times New Roman"/>
                <w:i w:val="0"/>
                <w:iCs w:val="0"/>
                <w:color w:val="000000"/>
                <w:kern w:val="0"/>
                <w:sz w:val="21"/>
                <w:szCs w:val="21"/>
                <w:u w:val="none"/>
                <w:bdr w:val="none" w:color="auto" w:sz="0" w:space="0"/>
                <w:lang w:val="en-US" w:eastAsia="zh-CN" w:bidi="ar"/>
              </w:rPr>
              <w:t xml:space="preserve"> </w:t>
            </w:r>
            <w:r>
              <w:rPr>
                <w:rFonts w:hint="eastAsia" w:ascii="Times New Roman" w:hAnsi="Times New Roman" w:eastAsia="宋体" w:cs="Times New Roman"/>
                <w:i w:val="0"/>
                <w:iCs w:val="0"/>
                <w:color w:val="000000"/>
                <w:kern w:val="0"/>
                <w:sz w:val="21"/>
                <w:szCs w:val="21"/>
                <w:u w:val="none"/>
                <w:bdr w:val="none" w:color="auto" w:sz="0" w:space="0"/>
                <w:lang w:val="en-US" w:eastAsia="zh-CN" w:bidi="ar"/>
              </w:rPr>
              <w:t>=0.03</w:t>
            </w:r>
          </w:p>
        </w:tc>
      </w:tr>
      <w:tr w14:paraId="536886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727" w:type="dxa"/>
            <w:tcBorders>
              <w:top w:val="single" w:color="000000" w:sz="4" w:space="0"/>
              <w:left w:val="single" w:color="000000" w:sz="4" w:space="0"/>
              <w:bottom w:val="single" w:color="000000" w:sz="4" w:space="0"/>
              <w:right w:val="single" w:color="000000" w:sz="4" w:space="0"/>
            </w:tcBorders>
            <w:shd w:val="clear"/>
            <w:noWrap/>
            <w:vAlign w:val="center"/>
          </w:tcPr>
          <w:p w14:paraId="7C299A84">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bdr w:val="none" w:color="auto" w:sz="0" w:space="0"/>
                <w:lang w:val="en-US" w:eastAsia="zh-CN" w:bidi="ar"/>
              </w:rPr>
              <w:t>Clinical skills (nursing students)</w:t>
            </w:r>
          </w:p>
        </w:tc>
        <w:tc>
          <w:tcPr>
            <w:tcW w:w="3138" w:type="dxa"/>
            <w:tcBorders>
              <w:top w:val="single" w:color="000000" w:sz="4" w:space="0"/>
              <w:left w:val="single" w:color="000000" w:sz="4" w:space="0"/>
              <w:bottom w:val="single" w:color="000000" w:sz="4" w:space="0"/>
              <w:right w:val="single" w:color="000000" w:sz="4" w:space="0"/>
            </w:tcBorders>
            <w:shd w:val="clear"/>
            <w:noWrap/>
            <w:vAlign w:val="center"/>
          </w:tcPr>
          <w:p w14:paraId="0E967F33">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bdr w:val="none" w:color="auto" w:sz="0" w:space="0"/>
                <w:lang w:val="en-US" w:eastAsia="zh-CN" w:bidi="ar"/>
              </w:rPr>
              <w:t xml:space="preserve">SMD = 0.98, 95% CI: 0.66 to 1.29, </w:t>
            </w:r>
            <w:r>
              <w:rPr>
                <w:rFonts w:hint="default" w:ascii="Times New Roman" w:hAnsi="Times New Roman" w:eastAsia="宋体" w:cs="Times New Roman"/>
                <w:i/>
                <w:iCs/>
                <w:color w:val="000000"/>
                <w:kern w:val="0"/>
                <w:sz w:val="21"/>
                <w:szCs w:val="21"/>
                <w:u w:val="none"/>
                <w:bdr w:val="none" w:color="auto" w:sz="0" w:space="0"/>
                <w:lang w:val="en-US" w:eastAsia="zh-CN" w:bidi="ar"/>
              </w:rPr>
              <w:t>P</w:t>
            </w:r>
            <w:r>
              <w:rPr>
                <w:rFonts w:hint="default" w:ascii="Times New Roman" w:hAnsi="Times New Roman" w:eastAsia="宋体" w:cs="Times New Roman"/>
                <w:i w:val="0"/>
                <w:iCs w:val="0"/>
                <w:color w:val="000000"/>
                <w:kern w:val="0"/>
                <w:sz w:val="21"/>
                <w:szCs w:val="21"/>
                <w:u w:val="none"/>
                <w:bdr w:val="none" w:color="auto" w:sz="0" w:space="0"/>
                <w:lang w:val="en-US" w:eastAsia="zh-CN" w:bidi="ar"/>
              </w:rPr>
              <w:t xml:space="preserve"> &lt; 0.001, I² = 0%, random-effects</w:t>
            </w:r>
          </w:p>
        </w:tc>
        <w:tc>
          <w:tcPr>
            <w:tcW w:w="3138" w:type="dxa"/>
            <w:tcBorders>
              <w:top w:val="single" w:color="000000" w:sz="4" w:space="0"/>
              <w:left w:val="single" w:color="000000" w:sz="4" w:space="0"/>
              <w:bottom w:val="single" w:color="000000" w:sz="4" w:space="0"/>
              <w:right w:val="single" w:color="000000" w:sz="4" w:space="0"/>
            </w:tcBorders>
            <w:shd w:val="clear"/>
            <w:noWrap/>
            <w:vAlign w:val="center"/>
          </w:tcPr>
          <w:p w14:paraId="5BEEB4CC">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 xml:space="preserve">SMD = 0.98, 95% CI: 0.66 to 1.29, </w:t>
            </w:r>
            <w:r>
              <w:rPr>
                <w:rFonts w:hint="default" w:ascii="Times New Roman" w:hAnsi="Times New Roman" w:eastAsia="宋体" w:cs="Times New Roman"/>
                <w:i/>
                <w:iCs/>
                <w:color w:val="000000"/>
                <w:kern w:val="0"/>
                <w:sz w:val="21"/>
                <w:szCs w:val="21"/>
                <w:u w:val="none"/>
                <w:lang w:val="en-US" w:eastAsia="zh-CN" w:bidi="ar"/>
              </w:rPr>
              <w:t>P</w:t>
            </w:r>
            <w:r>
              <w:rPr>
                <w:rFonts w:hint="default" w:ascii="Times New Roman" w:hAnsi="Times New Roman" w:eastAsia="宋体" w:cs="Times New Roman"/>
                <w:i w:val="0"/>
                <w:iCs w:val="0"/>
                <w:color w:val="000000"/>
                <w:kern w:val="0"/>
                <w:sz w:val="21"/>
                <w:szCs w:val="21"/>
                <w:u w:val="none"/>
                <w:lang w:val="en-US" w:eastAsia="zh-CN" w:bidi="ar"/>
              </w:rPr>
              <w:t xml:space="preserve"> &lt; 0.001, I² = 0%, random-effects</w:t>
            </w:r>
          </w:p>
        </w:tc>
        <w:tc>
          <w:tcPr>
            <w:tcW w:w="2017" w:type="dxa"/>
            <w:tcBorders>
              <w:top w:val="single" w:color="000000" w:sz="4" w:space="0"/>
              <w:left w:val="single" w:color="000000" w:sz="4" w:space="0"/>
              <w:bottom w:val="single" w:color="000000" w:sz="4" w:space="0"/>
              <w:right w:val="single" w:color="000000" w:sz="4" w:space="0"/>
            </w:tcBorders>
            <w:shd w:val="clear"/>
            <w:noWrap/>
            <w:vAlign w:val="center"/>
          </w:tcPr>
          <w:p w14:paraId="752A7A18">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bdr w:val="none" w:color="auto" w:sz="0" w:space="0"/>
                <w:lang w:val="en-US" w:eastAsia="zh-CN" w:bidi="ar"/>
              </w:rPr>
              <w:t>Unchanged</w:t>
            </w:r>
          </w:p>
        </w:tc>
        <w:tc>
          <w:tcPr>
            <w:tcW w:w="3771" w:type="dxa"/>
            <w:tcBorders>
              <w:top w:val="single" w:color="000000" w:sz="4" w:space="0"/>
              <w:left w:val="single" w:color="000000" w:sz="4" w:space="0"/>
              <w:bottom w:val="single" w:color="000000" w:sz="4" w:space="0"/>
              <w:right w:val="single" w:color="000000" w:sz="4" w:space="0"/>
            </w:tcBorders>
            <w:shd w:val="clear"/>
            <w:noWrap/>
            <w:vAlign w:val="center"/>
          </w:tcPr>
          <w:p w14:paraId="56A62570">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bdr w:val="none" w:color="auto" w:sz="0" w:space="0"/>
                <w:lang w:val="en-US" w:eastAsia="zh-CN" w:bidi="ar"/>
              </w:rPr>
              <w:t>—</w:t>
            </w:r>
          </w:p>
        </w:tc>
      </w:tr>
      <w:tr w14:paraId="3D71F1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727" w:type="dxa"/>
            <w:tcBorders>
              <w:top w:val="single" w:color="000000" w:sz="4" w:space="0"/>
              <w:left w:val="single" w:color="000000" w:sz="4" w:space="0"/>
              <w:bottom w:val="single" w:color="000000" w:sz="4" w:space="0"/>
              <w:right w:val="single" w:color="000000" w:sz="4" w:space="0"/>
            </w:tcBorders>
            <w:shd w:val="clear"/>
            <w:noWrap/>
            <w:vAlign w:val="center"/>
          </w:tcPr>
          <w:p w14:paraId="149FAEC6">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bdr w:val="none" w:color="auto" w:sz="0" w:space="0"/>
                <w:lang w:val="en-US" w:eastAsia="zh-CN" w:bidi="ar"/>
              </w:rPr>
              <w:t>Academic writing</w:t>
            </w:r>
          </w:p>
        </w:tc>
        <w:tc>
          <w:tcPr>
            <w:tcW w:w="3138" w:type="dxa"/>
            <w:tcBorders>
              <w:top w:val="single" w:color="000000" w:sz="4" w:space="0"/>
              <w:left w:val="single" w:color="000000" w:sz="4" w:space="0"/>
              <w:bottom w:val="single" w:color="000000" w:sz="4" w:space="0"/>
              <w:right w:val="single" w:color="000000" w:sz="4" w:space="0"/>
            </w:tcBorders>
            <w:shd w:val="clear"/>
            <w:noWrap/>
            <w:vAlign w:val="center"/>
          </w:tcPr>
          <w:p w14:paraId="2F686963">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bdr w:val="none" w:color="auto" w:sz="0" w:space="0"/>
                <w:lang w:val="en-US" w:eastAsia="zh-CN" w:bidi="ar"/>
              </w:rPr>
              <w:t>Significant benefit (</w:t>
            </w:r>
            <w:r>
              <w:rPr>
                <w:rFonts w:hint="default" w:ascii="Times New Roman" w:hAnsi="Times New Roman" w:eastAsia="宋体" w:cs="Times New Roman"/>
                <w:i/>
                <w:iCs/>
                <w:color w:val="000000"/>
                <w:kern w:val="0"/>
                <w:sz w:val="21"/>
                <w:szCs w:val="21"/>
                <w:u w:val="none"/>
                <w:bdr w:val="none" w:color="auto" w:sz="0" w:space="0"/>
                <w:lang w:val="en-US" w:eastAsia="zh-CN" w:bidi="ar"/>
              </w:rPr>
              <w:t>P</w:t>
            </w:r>
            <w:r>
              <w:rPr>
                <w:rFonts w:hint="default" w:ascii="Times New Roman" w:hAnsi="Times New Roman" w:eastAsia="宋体" w:cs="Times New Roman"/>
                <w:i w:val="0"/>
                <w:iCs w:val="0"/>
                <w:color w:val="000000"/>
                <w:kern w:val="0"/>
                <w:sz w:val="21"/>
                <w:szCs w:val="21"/>
                <w:u w:val="none"/>
                <w:bdr w:val="none" w:color="auto" w:sz="0" w:space="0"/>
                <w:lang w:val="en-US" w:eastAsia="zh-CN" w:bidi="ar"/>
              </w:rPr>
              <w:t xml:space="preserve"> &lt; 0.001)</w:t>
            </w:r>
          </w:p>
        </w:tc>
        <w:tc>
          <w:tcPr>
            <w:tcW w:w="3138" w:type="dxa"/>
            <w:tcBorders>
              <w:top w:val="single" w:color="000000" w:sz="4" w:space="0"/>
              <w:left w:val="single" w:color="000000" w:sz="4" w:space="0"/>
              <w:bottom w:val="single" w:color="000000" w:sz="4" w:space="0"/>
              <w:right w:val="single" w:color="000000" w:sz="4" w:space="0"/>
            </w:tcBorders>
            <w:shd w:val="clear"/>
            <w:noWrap/>
            <w:vAlign w:val="center"/>
          </w:tcPr>
          <w:p w14:paraId="1D1D1158">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bdr w:val="none" w:color="auto" w:sz="0" w:space="0"/>
                <w:lang w:val="en-US" w:eastAsia="zh-CN" w:bidi="ar"/>
              </w:rPr>
              <w:t>Significant benefit (</w:t>
            </w:r>
            <w:r>
              <w:rPr>
                <w:rFonts w:hint="default" w:ascii="Times New Roman" w:hAnsi="Times New Roman" w:eastAsia="宋体" w:cs="Times New Roman"/>
                <w:i/>
                <w:iCs/>
                <w:color w:val="000000"/>
                <w:kern w:val="0"/>
                <w:sz w:val="21"/>
                <w:szCs w:val="21"/>
                <w:u w:val="none"/>
                <w:bdr w:val="none" w:color="auto" w:sz="0" w:space="0"/>
                <w:lang w:val="en-US" w:eastAsia="zh-CN" w:bidi="ar"/>
              </w:rPr>
              <w:t>P</w:t>
            </w:r>
            <w:r>
              <w:rPr>
                <w:rFonts w:hint="default" w:ascii="Times New Roman" w:hAnsi="Times New Roman" w:eastAsia="宋体" w:cs="Times New Roman"/>
                <w:i w:val="0"/>
                <w:iCs w:val="0"/>
                <w:color w:val="000000"/>
                <w:kern w:val="0"/>
                <w:sz w:val="21"/>
                <w:szCs w:val="21"/>
                <w:u w:val="none"/>
                <w:bdr w:val="none" w:color="auto" w:sz="0" w:space="0"/>
                <w:lang w:val="en-US" w:eastAsia="zh-CN" w:bidi="ar"/>
              </w:rPr>
              <w:t xml:space="preserve"> &lt; 0.001)</w:t>
            </w:r>
          </w:p>
        </w:tc>
        <w:tc>
          <w:tcPr>
            <w:tcW w:w="2017" w:type="dxa"/>
            <w:tcBorders>
              <w:top w:val="single" w:color="000000" w:sz="4" w:space="0"/>
              <w:left w:val="single" w:color="000000" w:sz="4" w:space="0"/>
              <w:bottom w:val="single" w:color="000000" w:sz="4" w:space="0"/>
              <w:right w:val="single" w:color="000000" w:sz="4" w:space="0"/>
            </w:tcBorders>
            <w:shd w:val="clear"/>
            <w:noWrap/>
            <w:vAlign w:val="center"/>
          </w:tcPr>
          <w:p w14:paraId="7E2D32BF">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bdr w:val="none" w:color="auto" w:sz="0" w:space="0"/>
                <w:lang w:val="en-US" w:eastAsia="zh-CN" w:bidi="ar"/>
              </w:rPr>
              <w:t>Unchanged</w:t>
            </w:r>
          </w:p>
        </w:tc>
        <w:tc>
          <w:tcPr>
            <w:tcW w:w="3771" w:type="dxa"/>
            <w:tcBorders>
              <w:top w:val="single" w:color="000000" w:sz="4" w:space="0"/>
              <w:left w:val="single" w:color="000000" w:sz="4" w:space="0"/>
              <w:bottom w:val="single" w:color="000000" w:sz="4" w:space="0"/>
              <w:right w:val="single" w:color="000000" w:sz="4" w:space="0"/>
            </w:tcBorders>
            <w:shd w:val="clear"/>
            <w:noWrap/>
            <w:vAlign w:val="center"/>
          </w:tcPr>
          <w:p w14:paraId="41EC8261">
            <w:pPr>
              <w:keepNext w:val="0"/>
              <w:keepLines w:val="0"/>
              <w:widowControl/>
              <w:suppressLineNumbers w:val="0"/>
              <w:snapToGrid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bdr w:val="none" w:color="auto" w:sz="0" w:space="0"/>
                <w:lang w:val="en-US" w:eastAsia="zh-CN" w:bidi="ar"/>
              </w:rPr>
              <w:t>—</w:t>
            </w:r>
          </w:p>
        </w:tc>
      </w:tr>
    </w:tbl>
    <w:p w14:paraId="40FCA712">
      <w:pPr>
        <w:rPr>
          <w:rFonts w:hint="default" w:ascii="Times New Roman" w:hAnsi="Times New Roman" w:cs="Times New Roman"/>
          <w:lang w:val="en-US" w:eastAsia="zh-CN"/>
        </w:rPr>
      </w:pPr>
      <w:r>
        <w:rPr>
          <w:rFonts w:hint="default" w:ascii="Times New Roman" w:hAnsi="Times New Roman" w:cs="Times New Roman"/>
          <w:lang w:val="en-US" w:eastAsia="zh-CN"/>
        </w:rPr>
        <w:t>Abbreviations: SMD, standardized mean difference; CI, confidence interval.</w:t>
      </w:r>
    </w:p>
    <w:p w14:paraId="309B1DB1">
      <w:pPr>
        <w:rPr>
          <w:rFonts w:hint="default" w:ascii="Times New Roman" w:hAnsi="Times New Roman" w:cs="Times New Roman"/>
          <w:lang w:val="en-US" w:eastAsia="zh-CN"/>
        </w:rPr>
      </w:pPr>
      <w:r>
        <w:rPr>
          <w:rFonts w:hint="default" w:ascii="Times New Roman" w:hAnsi="Times New Roman" w:cs="Times New Roman"/>
          <w:lang w:val="en-US" w:eastAsia="zh-CN"/>
        </w:rPr>
        <w:t>Supplementary Figure S</w:t>
      </w:r>
      <w:r>
        <w:rPr>
          <w:rFonts w:hint="default" w:ascii="Times New Roman" w:hAnsi="Times New Roman" w:cs="Times New Roman"/>
          <w:lang w:val="en-US" w:eastAsia="zh-CN"/>
        </w:rPr>
        <w:t>1</w:t>
      </w:r>
      <w:r>
        <w:rPr>
          <w:rFonts w:hint="default" w:ascii="Times New Roman" w:hAnsi="Times New Roman" w:cs="Times New Roman"/>
          <w:lang w:val="en-US" w:eastAsia="zh-CN"/>
        </w:rPr>
        <w:t>. Forest plots comparing pooled effect estimates for clinical skills among clinical medicine students before and after the April</w:t>
      </w:r>
      <w:r>
        <w:rPr>
          <w:rFonts w:hint="default" w:ascii="Times New Roman" w:hAnsi="Times New Roman" w:cs="Times New Roman"/>
          <w:lang w:val="en-US" w:eastAsia="zh-CN"/>
        </w:rPr>
        <w:t xml:space="preserve"> 24,</w:t>
      </w:r>
      <w:r>
        <w:rPr>
          <w:rFonts w:hint="default" w:ascii="Times New Roman" w:hAnsi="Times New Roman" w:cs="Times New Roman"/>
          <w:lang w:val="en-US" w:eastAsia="zh-CN"/>
        </w:rPr>
        <w:t xml:space="preserve"> 2026 search update</w:t>
      </w:r>
    </w:p>
    <w:p w14:paraId="328B14AF">
      <w:pPr>
        <w:rPr>
          <w:rFonts w:hint="default" w:ascii="Times New Roman" w:hAnsi="Times New Roman" w:cs="Times New Roman"/>
          <w:lang w:val="en-US" w:eastAsia="zh-CN"/>
        </w:rPr>
      </w:pPr>
      <w:r>
        <w:rPr>
          <w:rFonts w:hint="default" w:ascii="Times New Roman" w:hAnsi="Times New Roman" w:cs="Times New Roman"/>
          <w:lang w:val="en-US" w:eastAsia="zh-CN"/>
        </w:rPr>
        <w:t xml:space="preserve">(A)Forest plot based on the initial search , showing a significant benefit of GenAI </w:t>
      </w:r>
      <w:r>
        <w:rPr>
          <w:rFonts w:hint="eastAsia" w:ascii="Times New Roman" w:hAnsi="Times New Roman" w:cs="Times New Roman"/>
          <w:lang w:val="en-US" w:eastAsia="zh-CN"/>
        </w:rPr>
        <w:t>for basic knowledge of nur</w:t>
      </w:r>
      <w:bookmarkStart w:id="0" w:name="_GoBack"/>
      <w:bookmarkEnd w:id="0"/>
      <w:r>
        <w:rPr>
          <w:rFonts w:hint="eastAsia" w:ascii="Times New Roman" w:hAnsi="Times New Roman" w:cs="Times New Roman"/>
          <w:lang w:val="en-US" w:eastAsia="zh-CN"/>
        </w:rPr>
        <w:t>sing students</w:t>
      </w:r>
      <w:r>
        <w:rPr>
          <w:rFonts w:hint="default" w:ascii="Times New Roman" w:hAnsi="Times New Roman" w:cs="Times New Roman"/>
          <w:lang w:val="en-US" w:eastAsia="zh-CN"/>
        </w:rPr>
        <w:t>(SMD = 0.</w:t>
      </w:r>
      <w:r>
        <w:rPr>
          <w:rFonts w:hint="eastAsia" w:ascii="Times New Roman" w:hAnsi="Times New Roman" w:cs="Times New Roman"/>
          <w:lang w:val="en-US" w:eastAsia="zh-CN"/>
        </w:rPr>
        <w:t>65</w:t>
      </w:r>
      <w:r>
        <w:rPr>
          <w:rFonts w:hint="default" w:ascii="Times New Roman" w:hAnsi="Times New Roman" w:cs="Times New Roman"/>
          <w:lang w:val="en-US" w:eastAsia="zh-CN"/>
        </w:rPr>
        <w:t xml:space="preserve">, </w:t>
      </w:r>
      <w:r>
        <w:rPr>
          <w:rFonts w:hint="default" w:ascii="Times New Roman" w:hAnsi="Times New Roman" w:cs="Times New Roman"/>
          <w:i/>
          <w:iCs/>
          <w:lang w:val="en-US" w:eastAsia="zh-CN"/>
        </w:rPr>
        <w:t>P</w:t>
      </w:r>
      <w:r>
        <w:rPr>
          <w:rFonts w:hint="default" w:ascii="Times New Roman" w:hAnsi="Times New Roman" w:cs="Times New Roman"/>
          <w:lang w:val="en-US" w:eastAsia="zh-CN"/>
        </w:rPr>
        <w:t xml:space="preserve"> = 0.</w:t>
      </w:r>
      <w:r>
        <w:rPr>
          <w:rFonts w:hint="eastAsia" w:ascii="Times New Roman" w:hAnsi="Times New Roman" w:cs="Times New Roman"/>
          <w:lang w:val="en-US" w:eastAsia="zh-CN"/>
        </w:rPr>
        <w:t>0007</w:t>
      </w:r>
      <w:r>
        <w:rPr>
          <w:rFonts w:hint="default" w:ascii="Times New Roman" w:hAnsi="Times New Roman" w:cs="Times New Roman"/>
          <w:lang w:val="en-US" w:eastAsia="zh-CN"/>
        </w:rPr>
        <w:t>)</w:t>
      </w:r>
      <w:r>
        <w:rPr>
          <w:rFonts w:hint="eastAsia" w:ascii="Times New Roman" w:hAnsi="Times New Roman" w:cs="Times New Roman"/>
          <w:lang w:val="en-US" w:eastAsia="zh-CN"/>
        </w:rPr>
        <w:t xml:space="preserve">. </w:t>
      </w:r>
      <w:r>
        <w:rPr>
          <w:rFonts w:hint="default" w:ascii="Times New Roman" w:hAnsi="Times New Roman" w:cs="Times New Roman"/>
          <w:lang w:val="en-US" w:eastAsia="zh-CN"/>
        </w:rPr>
        <w:t>(</w:t>
      </w:r>
      <w:r>
        <w:rPr>
          <w:rFonts w:hint="eastAsia" w:ascii="Times New Roman" w:hAnsi="Times New Roman" w:cs="Times New Roman"/>
          <w:lang w:val="en-US" w:eastAsia="zh-CN"/>
        </w:rPr>
        <w:t>B</w:t>
      </w:r>
      <w:r>
        <w:rPr>
          <w:rFonts w:hint="default" w:ascii="Times New Roman" w:hAnsi="Times New Roman" w:cs="Times New Roman"/>
          <w:lang w:val="en-US" w:eastAsia="zh-CN"/>
        </w:rPr>
        <w:t xml:space="preserve">) Forest plot based on the initial search , showing a significant benefit of GenAI </w:t>
      </w:r>
      <w:r>
        <w:rPr>
          <w:rFonts w:hint="eastAsia" w:ascii="Times New Roman" w:hAnsi="Times New Roman" w:cs="Times New Roman"/>
          <w:lang w:val="en-US" w:eastAsia="zh-CN"/>
        </w:rPr>
        <w:t>for basic knowledge of nursing students</w:t>
      </w:r>
      <w:r>
        <w:rPr>
          <w:rFonts w:hint="default" w:ascii="Times New Roman" w:hAnsi="Times New Roman" w:cs="Times New Roman"/>
          <w:lang w:val="en-US" w:eastAsia="zh-CN"/>
        </w:rPr>
        <w:t xml:space="preserve">(SMD = </w:t>
      </w:r>
      <w:r>
        <w:rPr>
          <w:rFonts w:hint="eastAsia" w:ascii="Times New Roman" w:hAnsi="Times New Roman" w:cs="Times New Roman"/>
          <w:lang w:val="en-US" w:eastAsia="zh-CN"/>
        </w:rPr>
        <w:t>1.11</w:t>
      </w:r>
      <w:r>
        <w:rPr>
          <w:rFonts w:hint="default" w:ascii="Times New Roman" w:hAnsi="Times New Roman" w:cs="Times New Roman"/>
          <w:lang w:val="en-US" w:eastAsia="zh-CN"/>
        </w:rPr>
        <w:t xml:space="preserve">, </w:t>
      </w:r>
      <w:r>
        <w:rPr>
          <w:rFonts w:hint="default" w:ascii="Times New Roman" w:hAnsi="Times New Roman" w:cs="Times New Roman"/>
          <w:i/>
          <w:iCs/>
          <w:lang w:val="en-US" w:eastAsia="zh-CN"/>
        </w:rPr>
        <w:t>P</w:t>
      </w:r>
      <w:r>
        <w:rPr>
          <w:rFonts w:hint="default" w:ascii="Times New Roman" w:hAnsi="Times New Roman" w:cs="Times New Roman"/>
          <w:lang w:val="en-US" w:eastAsia="zh-CN"/>
        </w:rPr>
        <w:t xml:space="preserve"> = 0.</w:t>
      </w:r>
      <w:r>
        <w:rPr>
          <w:rFonts w:hint="eastAsia" w:ascii="Times New Roman" w:hAnsi="Times New Roman" w:cs="Times New Roman"/>
          <w:lang w:val="en-US" w:eastAsia="zh-CN"/>
        </w:rPr>
        <w:t>0002</w:t>
      </w:r>
      <w:r>
        <w:rPr>
          <w:rFonts w:hint="default" w:ascii="Times New Roman" w:hAnsi="Times New Roman" w:cs="Times New Roman"/>
          <w:lang w:val="en-US" w:eastAsia="zh-CN"/>
        </w:rPr>
        <w:t>)</w:t>
      </w:r>
      <w:r>
        <w:rPr>
          <w:rFonts w:hint="eastAsia" w:ascii="Times New Roman" w:hAnsi="Times New Roman" w:cs="Times New Roman"/>
          <w:lang w:val="en-US" w:eastAsia="zh-CN"/>
        </w:rPr>
        <w:t>. (C)</w:t>
      </w:r>
      <w:r>
        <w:rPr>
          <w:rFonts w:hint="default" w:ascii="Times New Roman" w:hAnsi="Times New Roman" w:cs="Times New Roman"/>
          <w:lang w:val="en-US" w:eastAsia="zh-CN"/>
        </w:rPr>
        <w:t>Forest plot based on the initial search , showing a significant benefit of GenAI (SMD = 0.44, P = 0.02). (</w:t>
      </w:r>
      <w:r>
        <w:rPr>
          <w:rFonts w:hint="eastAsia" w:ascii="Times New Roman" w:hAnsi="Times New Roman" w:cs="Times New Roman"/>
          <w:lang w:val="en-US" w:eastAsia="zh-CN"/>
        </w:rPr>
        <w:t>D</w:t>
      </w:r>
      <w:r>
        <w:rPr>
          <w:rFonts w:hint="default" w:ascii="Times New Roman" w:hAnsi="Times New Roman" w:cs="Times New Roman"/>
          <w:lang w:val="en-US" w:eastAsia="zh-CN"/>
        </w:rPr>
        <w:t>) Forest plot after the updated search (up to April 24, 2026), showing a non-significant overall effect (SMD = 0.25, P = 0.18). The newly included Briones-Zamora 2026 (arrow), which assessed fine procedural suturing skill and favored video-based instruction (SMD = −1.94), was the primary driver of this attenuation.</w:t>
      </w:r>
    </w:p>
    <w:p w14:paraId="11613DA2">
      <w:pPr>
        <w:rPr>
          <w:rFonts w:hint="default" w:ascii="Times New Roman" w:hAnsi="Times New Roman" w:cs="Times New Roman"/>
          <w:lang w:val="en-US" w:eastAsia="zh-CN"/>
        </w:rPr>
      </w:pPr>
    </w:p>
    <w:p w14:paraId="28BA585E">
      <w:pPr>
        <w:rPr>
          <w:rFonts w:hint="default" w:ascii="Times New Roman" w:hAnsi="Times New Roman" w:cs="Times New Roman"/>
          <w:lang w:val="en-US" w:eastAsia="zh-CN"/>
        </w:rPr>
      </w:pPr>
      <w:r>
        <w:rPr>
          <w:rFonts w:hint="default" w:ascii="Times New Roman" w:hAnsi="Times New Roman" w:cs="Times New Roman"/>
          <w:lang w:val="en-US" w:eastAsia="zh-CN"/>
        </w:rPr>
        <w:drawing>
          <wp:inline distT="0" distB="0" distL="114300" distR="114300">
            <wp:extent cx="7517130" cy="4860925"/>
            <wp:effectExtent l="0" t="0" r="7620" b="15875"/>
            <wp:docPr id="3" name="图片 3" descr="Figure4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Figure4A"/>
                    <pic:cNvPicPr>
                      <a:picLocks noChangeAspect="1"/>
                    </pic:cNvPicPr>
                  </pic:nvPicPr>
                  <pic:blipFill>
                    <a:blip r:embed="rId4"/>
                    <a:stretch>
                      <a:fillRect/>
                    </a:stretch>
                  </pic:blipFill>
                  <pic:spPr>
                    <a:xfrm>
                      <a:off x="0" y="0"/>
                      <a:ext cx="7517130" cy="4860925"/>
                    </a:xfrm>
                    <a:prstGeom prst="rect">
                      <a:avLst/>
                    </a:prstGeom>
                  </pic:spPr>
                </pic:pic>
              </a:graphicData>
            </a:graphic>
          </wp:inline>
        </w:drawing>
      </w:r>
    </w:p>
    <w:p w14:paraId="2793749F">
      <w:pPr>
        <w:rPr>
          <w:rFonts w:hint="default" w:ascii="Times New Roman" w:hAnsi="Times New Roman" w:cs="Times New Roman"/>
          <w:lang w:val="en-US" w:eastAsia="zh-CN"/>
        </w:rPr>
      </w:pPr>
      <w:r>
        <w:rPr>
          <w:rFonts w:hint="default" w:ascii="Times New Roman" w:hAnsi="Times New Roman" w:cs="Times New Roman"/>
          <w:lang w:val="en-US" w:eastAsia="zh-CN"/>
        </w:rPr>
        <w:t xml:space="preserve">Figure S1(A) Forest plot based on the initial search , showing a significant benefit of GenAI </w:t>
      </w:r>
      <w:r>
        <w:rPr>
          <w:rFonts w:hint="eastAsia" w:ascii="Times New Roman" w:hAnsi="Times New Roman" w:cs="Times New Roman"/>
          <w:lang w:val="en-US" w:eastAsia="zh-CN"/>
        </w:rPr>
        <w:t>for basic knowledge of nursing students</w:t>
      </w:r>
      <w:r>
        <w:rPr>
          <w:rFonts w:hint="default" w:ascii="Times New Roman" w:hAnsi="Times New Roman" w:cs="Times New Roman"/>
          <w:lang w:val="en-US" w:eastAsia="zh-CN"/>
        </w:rPr>
        <w:t>(SMD = 0.</w:t>
      </w:r>
      <w:r>
        <w:rPr>
          <w:rFonts w:hint="eastAsia" w:ascii="Times New Roman" w:hAnsi="Times New Roman" w:cs="Times New Roman"/>
          <w:lang w:val="en-US" w:eastAsia="zh-CN"/>
        </w:rPr>
        <w:t>65</w:t>
      </w:r>
      <w:r>
        <w:rPr>
          <w:rFonts w:hint="default" w:ascii="Times New Roman" w:hAnsi="Times New Roman" w:cs="Times New Roman"/>
          <w:lang w:val="en-US" w:eastAsia="zh-CN"/>
        </w:rPr>
        <w:t xml:space="preserve">, </w:t>
      </w:r>
      <w:r>
        <w:rPr>
          <w:rFonts w:hint="default" w:ascii="Times New Roman" w:hAnsi="Times New Roman" w:cs="Times New Roman"/>
          <w:i/>
          <w:iCs/>
          <w:lang w:val="en-US" w:eastAsia="zh-CN"/>
        </w:rPr>
        <w:t>P</w:t>
      </w:r>
      <w:r>
        <w:rPr>
          <w:rFonts w:hint="default" w:ascii="Times New Roman" w:hAnsi="Times New Roman" w:cs="Times New Roman"/>
          <w:lang w:val="en-US" w:eastAsia="zh-CN"/>
        </w:rPr>
        <w:t xml:space="preserve"> = 0.</w:t>
      </w:r>
      <w:r>
        <w:rPr>
          <w:rFonts w:hint="eastAsia" w:ascii="Times New Roman" w:hAnsi="Times New Roman" w:cs="Times New Roman"/>
          <w:lang w:val="en-US" w:eastAsia="zh-CN"/>
        </w:rPr>
        <w:t>0007</w:t>
      </w:r>
      <w:r>
        <w:rPr>
          <w:rFonts w:hint="default" w:ascii="Times New Roman" w:hAnsi="Times New Roman" w:cs="Times New Roman"/>
          <w:lang w:val="en-US" w:eastAsia="zh-CN"/>
        </w:rPr>
        <w:t>)</w:t>
      </w:r>
    </w:p>
    <w:p w14:paraId="400F9291">
      <w:pPr>
        <w:rPr>
          <w:rFonts w:hint="default" w:ascii="Times New Roman" w:hAnsi="Times New Roman" w:cs="Times New Roman"/>
          <w:lang w:val="en-US" w:eastAsia="zh-CN"/>
        </w:rPr>
      </w:pPr>
      <w:r>
        <w:rPr>
          <w:rFonts w:hint="default" w:ascii="Times New Roman" w:hAnsi="Times New Roman" w:cs="Times New Roman"/>
          <w:lang w:val="en-US" w:eastAsia="zh-CN"/>
        </w:rPr>
        <w:drawing>
          <wp:inline distT="0" distB="0" distL="114300" distR="114300">
            <wp:extent cx="7048500" cy="4740910"/>
            <wp:effectExtent l="0" t="0" r="0" b="2540"/>
            <wp:docPr id="4" name="图片 4" descr="Figure4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Figure4A"/>
                    <pic:cNvPicPr>
                      <a:picLocks noChangeAspect="1"/>
                    </pic:cNvPicPr>
                  </pic:nvPicPr>
                  <pic:blipFill>
                    <a:blip r:embed="rId5"/>
                    <a:stretch>
                      <a:fillRect/>
                    </a:stretch>
                  </pic:blipFill>
                  <pic:spPr>
                    <a:xfrm>
                      <a:off x="0" y="0"/>
                      <a:ext cx="7048500" cy="4740910"/>
                    </a:xfrm>
                    <a:prstGeom prst="rect">
                      <a:avLst/>
                    </a:prstGeom>
                  </pic:spPr>
                </pic:pic>
              </a:graphicData>
            </a:graphic>
          </wp:inline>
        </w:drawing>
      </w:r>
    </w:p>
    <w:p w14:paraId="0D3BEB88">
      <w:pPr>
        <w:rPr>
          <w:rFonts w:hint="default" w:ascii="Times New Roman" w:hAnsi="Times New Roman" w:cs="Times New Roman"/>
          <w:lang w:val="en-US" w:eastAsia="zh-CN"/>
        </w:rPr>
      </w:pPr>
      <w:r>
        <w:rPr>
          <w:rFonts w:hint="default" w:ascii="Times New Roman" w:hAnsi="Times New Roman" w:cs="Times New Roman"/>
          <w:lang w:val="en-US" w:eastAsia="zh-CN"/>
        </w:rPr>
        <w:t>Figure S1(</w:t>
      </w:r>
      <w:r>
        <w:rPr>
          <w:rFonts w:hint="eastAsia" w:ascii="Times New Roman" w:hAnsi="Times New Roman" w:cs="Times New Roman"/>
          <w:lang w:val="en-US" w:eastAsia="zh-CN"/>
        </w:rPr>
        <w:t>B</w:t>
      </w:r>
      <w:r>
        <w:rPr>
          <w:rFonts w:hint="default" w:ascii="Times New Roman" w:hAnsi="Times New Roman" w:cs="Times New Roman"/>
          <w:lang w:val="en-US" w:eastAsia="zh-CN"/>
        </w:rPr>
        <w:t xml:space="preserve">) Forest plot based on the initial search , showing a significant benefit of GenAI </w:t>
      </w:r>
      <w:r>
        <w:rPr>
          <w:rFonts w:hint="eastAsia" w:ascii="Times New Roman" w:hAnsi="Times New Roman" w:cs="Times New Roman"/>
          <w:lang w:val="en-US" w:eastAsia="zh-CN"/>
        </w:rPr>
        <w:t>for basic knowledge of nursing students</w:t>
      </w:r>
      <w:r>
        <w:rPr>
          <w:rFonts w:hint="default" w:ascii="Times New Roman" w:hAnsi="Times New Roman" w:cs="Times New Roman"/>
          <w:lang w:val="en-US" w:eastAsia="zh-CN"/>
        </w:rPr>
        <w:t xml:space="preserve">(SMD = </w:t>
      </w:r>
      <w:r>
        <w:rPr>
          <w:rFonts w:hint="eastAsia" w:ascii="Times New Roman" w:hAnsi="Times New Roman" w:cs="Times New Roman"/>
          <w:lang w:val="en-US" w:eastAsia="zh-CN"/>
        </w:rPr>
        <w:t>1.11</w:t>
      </w:r>
      <w:r>
        <w:rPr>
          <w:rFonts w:hint="default" w:ascii="Times New Roman" w:hAnsi="Times New Roman" w:cs="Times New Roman"/>
          <w:lang w:val="en-US" w:eastAsia="zh-CN"/>
        </w:rPr>
        <w:t xml:space="preserve">, </w:t>
      </w:r>
      <w:r>
        <w:rPr>
          <w:rFonts w:hint="default" w:ascii="Times New Roman" w:hAnsi="Times New Roman" w:cs="Times New Roman"/>
          <w:i/>
          <w:iCs/>
          <w:lang w:val="en-US" w:eastAsia="zh-CN"/>
        </w:rPr>
        <w:t>P</w:t>
      </w:r>
      <w:r>
        <w:rPr>
          <w:rFonts w:hint="default" w:ascii="Times New Roman" w:hAnsi="Times New Roman" w:cs="Times New Roman"/>
          <w:lang w:val="en-US" w:eastAsia="zh-CN"/>
        </w:rPr>
        <w:t xml:space="preserve"> = 0.</w:t>
      </w:r>
      <w:r>
        <w:rPr>
          <w:rFonts w:hint="eastAsia" w:ascii="Times New Roman" w:hAnsi="Times New Roman" w:cs="Times New Roman"/>
          <w:lang w:val="en-US" w:eastAsia="zh-CN"/>
        </w:rPr>
        <w:t>0002</w:t>
      </w:r>
      <w:r>
        <w:rPr>
          <w:rFonts w:hint="default" w:ascii="Times New Roman" w:hAnsi="Times New Roman" w:cs="Times New Roman"/>
          <w:lang w:val="en-US" w:eastAsia="zh-CN"/>
        </w:rPr>
        <w:t>)</w:t>
      </w:r>
    </w:p>
    <w:p w14:paraId="2E716FAA">
      <w:pPr>
        <w:rPr>
          <w:rFonts w:hint="default" w:ascii="Times New Roman" w:hAnsi="Times New Roman" w:cs="Times New Roman"/>
          <w:lang w:val="en-US" w:eastAsia="zh-CN"/>
        </w:rPr>
      </w:pPr>
    </w:p>
    <w:p w14:paraId="751947D2">
      <w:pPr>
        <w:rPr>
          <w:rFonts w:hint="default" w:ascii="Times New Roman" w:hAnsi="Times New Roman" w:cs="Times New Roman"/>
          <w:lang w:val="en-US" w:eastAsia="zh-CN"/>
        </w:rPr>
      </w:pPr>
      <w:r>
        <w:rPr>
          <w:rFonts w:hint="default" w:ascii="Times New Roman" w:hAnsi="Times New Roman" w:cs="Times New Roman"/>
          <w:lang w:val="en-US" w:eastAsia="zh-CN"/>
        </w:rPr>
        <w:drawing>
          <wp:inline distT="0" distB="0" distL="114300" distR="114300">
            <wp:extent cx="8860155" cy="4579620"/>
            <wp:effectExtent l="0" t="0" r="17145" b="11430"/>
            <wp:docPr id="2" name="图片 2" descr="Figure4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Figure4B"/>
                    <pic:cNvPicPr>
                      <a:picLocks noChangeAspect="1"/>
                    </pic:cNvPicPr>
                  </pic:nvPicPr>
                  <pic:blipFill>
                    <a:blip r:embed="rId6"/>
                    <a:stretch>
                      <a:fillRect/>
                    </a:stretch>
                  </pic:blipFill>
                  <pic:spPr>
                    <a:xfrm>
                      <a:off x="0" y="0"/>
                      <a:ext cx="8860155" cy="4579620"/>
                    </a:xfrm>
                    <a:prstGeom prst="rect">
                      <a:avLst/>
                    </a:prstGeom>
                  </pic:spPr>
                </pic:pic>
              </a:graphicData>
            </a:graphic>
          </wp:inline>
        </w:drawing>
      </w:r>
    </w:p>
    <w:p w14:paraId="0CBF4C37">
      <w:pPr>
        <w:rPr>
          <w:rFonts w:hint="default" w:ascii="Times New Roman" w:hAnsi="Times New Roman" w:cs="Times New Roman"/>
          <w:lang w:val="en-US" w:eastAsia="zh-CN"/>
        </w:rPr>
      </w:pPr>
      <w:r>
        <w:rPr>
          <w:rFonts w:hint="eastAsia" w:ascii="Times New Roman" w:hAnsi="Times New Roman" w:cs="Times New Roman"/>
          <w:lang w:val="en-US" w:eastAsia="zh-CN"/>
        </w:rPr>
        <w:t>Figure S1</w:t>
      </w:r>
      <w:r>
        <w:rPr>
          <w:rFonts w:hint="default" w:ascii="Times New Roman" w:hAnsi="Times New Roman" w:cs="Times New Roman"/>
          <w:lang w:val="en-US" w:eastAsia="zh-CN"/>
        </w:rPr>
        <w:t>(</w:t>
      </w:r>
      <w:r>
        <w:rPr>
          <w:rFonts w:hint="eastAsia" w:ascii="Times New Roman" w:hAnsi="Times New Roman" w:cs="Times New Roman"/>
          <w:lang w:val="en-US" w:eastAsia="zh-CN"/>
        </w:rPr>
        <w:t>C</w:t>
      </w:r>
      <w:r>
        <w:rPr>
          <w:rFonts w:hint="default" w:ascii="Times New Roman" w:hAnsi="Times New Roman" w:cs="Times New Roman"/>
          <w:lang w:val="en-US" w:eastAsia="zh-CN"/>
        </w:rPr>
        <w:t xml:space="preserve">) Forest plot based on the initial search , showing a significant benefit of GenAI (SMD = 0.44, </w:t>
      </w:r>
      <w:r>
        <w:rPr>
          <w:rFonts w:hint="default" w:ascii="Times New Roman" w:hAnsi="Times New Roman" w:cs="Times New Roman"/>
          <w:i/>
          <w:iCs/>
          <w:lang w:val="en-US" w:eastAsia="zh-CN"/>
        </w:rPr>
        <w:t>P</w:t>
      </w:r>
      <w:r>
        <w:rPr>
          <w:rFonts w:hint="default" w:ascii="Times New Roman" w:hAnsi="Times New Roman" w:cs="Times New Roman"/>
          <w:lang w:val="en-US" w:eastAsia="zh-CN"/>
        </w:rPr>
        <w:t xml:space="preserve"> = 0.02)</w:t>
      </w:r>
    </w:p>
    <w:p w14:paraId="28891E23">
      <w:pPr>
        <w:rPr>
          <w:rFonts w:hint="default" w:ascii="Times New Roman" w:hAnsi="Times New Roman" w:cs="Times New Roman"/>
          <w:lang w:val="en-US" w:eastAsia="zh-CN"/>
        </w:rPr>
      </w:pPr>
      <w:r>
        <w:rPr>
          <w:rFonts w:hint="default" w:ascii="Times New Roman" w:hAnsi="Times New Roman" w:cs="Times New Roman"/>
          <w:lang w:val="en-US" w:eastAsia="zh-CN"/>
        </w:rPr>
        <w:drawing>
          <wp:inline distT="0" distB="0" distL="114300" distR="114300">
            <wp:extent cx="8846820" cy="4717415"/>
            <wp:effectExtent l="0" t="0" r="11430" b="6985"/>
            <wp:docPr id="1" name="图片 1" descr="Figure 4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Figure 4B"/>
                    <pic:cNvPicPr>
                      <a:picLocks noChangeAspect="1"/>
                    </pic:cNvPicPr>
                  </pic:nvPicPr>
                  <pic:blipFill>
                    <a:blip r:embed="rId7"/>
                    <a:stretch>
                      <a:fillRect/>
                    </a:stretch>
                  </pic:blipFill>
                  <pic:spPr>
                    <a:xfrm>
                      <a:off x="0" y="0"/>
                      <a:ext cx="8846820" cy="4717415"/>
                    </a:xfrm>
                    <a:prstGeom prst="rect">
                      <a:avLst/>
                    </a:prstGeom>
                  </pic:spPr>
                </pic:pic>
              </a:graphicData>
            </a:graphic>
          </wp:inline>
        </w:drawing>
      </w:r>
    </w:p>
    <w:p w14:paraId="0D84F586">
      <w:pPr>
        <w:rPr>
          <w:rFonts w:hint="default" w:ascii="Times New Roman" w:hAnsi="Times New Roman" w:cs="Times New Roman"/>
          <w:lang w:val="en-US" w:eastAsia="zh-CN"/>
        </w:rPr>
      </w:pPr>
      <w:r>
        <w:rPr>
          <w:rFonts w:hint="eastAsia" w:ascii="Times New Roman" w:hAnsi="Times New Roman" w:cs="Times New Roman"/>
          <w:lang w:val="en-US" w:eastAsia="zh-CN"/>
        </w:rPr>
        <w:t>Figure S1</w:t>
      </w:r>
      <w:r>
        <w:rPr>
          <w:rFonts w:hint="default" w:ascii="Times New Roman" w:hAnsi="Times New Roman" w:cs="Times New Roman"/>
          <w:lang w:val="en-US" w:eastAsia="zh-CN"/>
        </w:rPr>
        <w:t>(</w:t>
      </w:r>
      <w:r>
        <w:rPr>
          <w:rFonts w:hint="eastAsia" w:ascii="Times New Roman" w:hAnsi="Times New Roman" w:cs="Times New Roman"/>
          <w:lang w:val="en-US" w:eastAsia="zh-CN"/>
        </w:rPr>
        <w:t>D</w:t>
      </w:r>
      <w:r>
        <w:rPr>
          <w:rFonts w:hint="default" w:ascii="Times New Roman" w:hAnsi="Times New Roman" w:cs="Times New Roman"/>
          <w:lang w:val="en-US" w:eastAsia="zh-CN"/>
        </w:rPr>
        <w:t xml:space="preserve">) Forest plot after the updated search (up to April 24, 2026), showing a non-significant overall effect (SMD = 0.25, </w:t>
      </w:r>
      <w:r>
        <w:rPr>
          <w:rFonts w:hint="default" w:ascii="Times New Roman" w:hAnsi="Times New Roman" w:cs="Times New Roman"/>
          <w:i/>
          <w:iCs/>
          <w:lang w:val="en-US" w:eastAsia="zh-CN"/>
        </w:rPr>
        <w:t>P</w:t>
      </w:r>
      <w:r>
        <w:rPr>
          <w:rFonts w:hint="default" w:ascii="Times New Roman" w:hAnsi="Times New Roman" w:cs="Times New Roman"/>
          <w:lang w:val="en-US" w:eastAsia="zh-CN"/>
        </w:rPr>
        <w:t xml:space="preserve"> = 0.18)</w:t>
      </w:r>
    </w:p>
    <w:p w14:paraId="55DCF0A9">
      <w:pPr>
        <w:rPr>
          <w:rFonts w:hint="default" w:ascii="Times New Roman" w:hAnsi="Times New Roman" w:cs="Times New Roman"/>
          <w:lang w:val="en-US" w:eastAsia="zh-CN"/>
        </w:rPr>
      </w:pPr>
    </w:p>
    <w:p w14:paraId="798916F1">
      <w:pPr>
        <w:rPr>
          <w:rFonts w:hint="default" w:ascii="Times New Roman" w:hAnsi="Times New Roman" w:cs="Times New Roman"/>
          <w:lang w:val="en-US" w:eastAsia="zh-CN"/>
        </w:rPr>
      </w:pPr>
      <w:r>
        <w:rPr>
          <w:rFonts w:hint="default" w:ascii="Times New Roman" w:hAnsi="Times New Roman" w:cs="Times New Roman"/>
          <w:lang w:val="en-US" w:eastAsia="zh-CN"/>
        </w:rPr>
        <w:t>Supplementary Table S</w:t>
      </w:r>
      <w:r>
        <w:rPr>
          <w:rFonts w:hint="default" w:ascii="Times New Roman" w:hAnsi="Times New Roman" w:cs="Times New Roman"/>
          <w:lang w:val="en-US" w:eastAsia="zh-CN"/>
        </w:rPr>
        <w:t>2</w:t>
      </w:r>
      <w:r>
        <w:rPr>
          <w:rFonts w:hint="default" w:ascii="Times New Roman" w:hAnsi="Times New Roman" w:cs="Times New Roman"/>
          <w:lang w:val="en-US" w:eastAsia="zh-CN"/>
        </w:rPr>
        <w:t>. Newly identified studies included in the updated analysis for clinical skills</w:t>
      </w:r>
    </w:p>
    <w:tbl>
      <w:tblPr>
        <w:tblW w:w="14081"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108" w:type="dxa"/>
          <w:bottom w:w="0" w:type="dxa"/>
          <w:right w:w="108" w:type="dxa"/>
        </w:tblCellMar>
      </w:tblPr>
      <w:tblGrid>
        <w:gridCol w:w="1705"/>
        <w:gridCol w:w="988"/>
        <w:gridCol w:w="1551"/>
        <w:gridCol w:w="2270"/>
        <w:gridCol w:w="1805"/>
        <w:gridCol w:w="1662"/>
        <w:gridCol w:w="3068"/>
        <w:gridCol w:w="1032"/>
      </w:tblGrid>
      <w:tr w14:paraId="28A9FC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705" w:type="dxa"/>
            <w:tcBorders>
              <w:top w:val="nil"/>
              <w:left w:val="nil"/>
              <w:bottom w:val="nil"/>
              <w:right w:val="nil"/>
            </w:tcBorders>
            <w:shd w:val="clear"/>
            <w:noWrap/>
            <w:vAlign w:val="center"/>
          </w:tcPr>
          <w:p w14:paraId="15F67C46">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Study</w:t>
            </w:r>
          </w:p>
        </w:tc>
        <w:tc>
          <w:tcPr>
            <w:tcW w:w="988" w:type="dxa"/>
            <w:tcBorders>
              <w:top w:val="nil"/>
              <w:left w:val="nil"/>
              <w:bottom w:val="nil"/>
              <w:right w:val="nil"/>
            </w:tcBorders>
            <w:shd w:val="clear"/>
            <w:noWrap/>
            <w:vAlign w:val="center"/>
          </w:tcPr>
          <w:p w14:paraId="0CE194FA">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Publication year</w:t>
            </w:r>
          </w:p>
        </w:tc>
        <w:tc>
          <w:tcPr>
            <w:tcW w:w="1551" w:type="dxa"/>
            <w:tcBorders>
              <w:top w:val="nil"/>
              <w:left w:val="nil"/>
              <w:bottom w:val="nil"/>
              <w:right w:val="nil"/>
            </w:tcBorders>
            <w:shd w:val="clear"/>
            <w:noWrap/>
            <w:vAlign w:val="center"/>
          </w:tcPr>
          <w:p w14:paraId="36E4AFDC">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Study design</w:t>
            </w:r>
          </w:p>
        </w:tc>
        <w:tc>
          <w:tcPr>
            <w:tcW w:w="2270" w:type="dxa"/>
            <w:tcBorders>
              <w:top w:val="nil"/>
              <w:left w:val="nil"/>
              <w:bottom w:val="nil"/>
              <w:right w:val="nil"/>
            </w:tcBorders>
            <w:shd w:val="clear"/>
            <w:noWrap/>
            <w:vAlign w:val="center"/>
          </w:tcPr>
          <w:p w14:paraId="507994EB">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Participants</w:t>
            </w:r>
          </w:p>
        </w:tc>
        <w:tc>
          <w:tcPr>
            <w:tcW w:w="1805" w:type="dxa"/>
            <w:tcBorders>
              <w:top w:val="nil"/>
              <w:left w:val="nil"/>
              <w:bottom w:val="nil"/>
              <w:right w:val="nil"/>
            </w:tcBorders>
            <w:shd w:val="clear"/>
            <w:noWrap/>
            <w:vAlign w:val="center"/>
          </w:tcPr>
          <w:p w14:paraId="1B483B09">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Intervention</w:t>
            </w:r>
          </w:p>
        </w:tc>
        <w:tc>
          <w:tcPr>
            <w:tcW w:w="1662" w:type="dxa"/>
            <w:tcBorders>
              <w:top w:val="nil"/>
              <w:left w:val="nil"/>
              <w:bottom w:val="nil"/>
              <w:right w:val="nil"/>
            </w:tcBorders>
            <w:shd w:val="clear"/>
            <w:noWrap/>
            <w:vAlign w:val="center"/>
          </w:tcPr>
          <w:p w14:paraId="5016186B">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Comparator</w:t>
            </w:r>
          </w:p>
        </w:tc>
        <w:tc>
          <w:tcPr>
            <w:tcW w:w="3068" w:type="dxa"/>
            <w:tcBorders>
              <w:top w:val="nil"/>
              <w:left w:val="nil"/>
              <w:bottom w:val="nil"/>
              <w:right w:val="nil"/>
            </w:tcBorders>
            <w:shd w:val="clear"/>
            <w:noWrap/>
            <w:vAlign w:val="center"/>
          </w:tcPr>
          <w:p w14:paraId="681B3345">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Outcome type</w:t>
            </w:r>
          </w:p>
        </w:tc>
        <w:tc>
          <w:tcPr>
            <w:tcW w:w="1032" w:type="dxa"/>
            <w:tcBorders>
              <w:top w:val="nil"/>
              <w:left w:val="nil"/>
              <w:bottom w:val="nil"/>
              <w:right w:val="nil"/>
            </w:tcBorders>
            <w:shd w:val="clear"/>
            <w:noWrap/>
            <w:vAlign w:val="center"/>
          </w:tcPr>
          <w:p w14:paraId="04C2E632">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SMD</w:t>
            </w:r>
          </w:p>
        </w:tc>
      </w:tr>
      <w:tr w14:paraId="317745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705" w:type="dxa"/>
            <w:tcBorders>
              <w:top w:val="nil"/>
              <w:left w:val="nil"/>
              <w:bottom w:val="nil"/>
              <w:right w:val="nil"/>
            </w:tcBorders>
            <w:shd w:val="clear"/>
            <w:noWrap/>
            <w:vAlign w:val="center"/>
          </w:tcPr>
          <w:p w14:paraId="7FD0FC39">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Briones-Zamora 2026</w:t>
            </w:r>
          </w:p>
        </w:tc>
        <w:tc>
          <w:tcPr>
            <w:tcW w:w="988" w:type="dxa"/>
            <w:tcBorders>
              <w:top w:val="nil"/>
              <w:left w:val="nil"/>
              <w:bottom w:val="nil"/>
              <w:right w:val="nil"/>
            </w:tcBorders>
            <w:shd w:val="clear"/>
            <w:noWrap/>
            <w:vAlign w:val="center"/>
          </w:tcPr>
          <w:p w14:paraId="7B12DDF2">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2026</w:t>
            </w:r>
          </w:p>
        </w:tc>
        <w:tc>
          <w:tcPr>
            <w:tcW w:w="1551" w:type="dxa"/>
            <w:tcBorders>
              <w:top w:val="nil"/>
              <w:left w:val="nil"/>
              <w:bottom w:val="nil"/>
              <w:right w:val="nil"/>
            </w:tcBorders>
            <w:shd w:val="clear"/>
            <w:noWrap/>
            <w:vAlign w:val="center"/>
          </w:tcPr>
          <w:p w14:paraId="163A714D">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Quasi-experimental</w:t>
            </w:r>
          </w:p>
        </w:tc>
        <w:tc>
          <w:tcPr>
            <w:tcW w:w="2270" w:type="dxa"/>
            <w:tcBorders>
              <w:top w:val="nil"/>
              <w:left w:val="nil"/>
              <w:bottom w:val="nil"/>
              <w:right w:val="nil"/>
            </w:tcBorders>
            <w:shd w:val="clear"/>
            <w:noWrap/>
            <w:vAlign w:val="center"/>
          </w:tcPr>
          <w:p w14:paraId="27A43C19">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33 third-year medical students</w:t>
            </w:r>
          </w:p>
        </w:tc>
        <w:tc>
          <w:tcPr>
            <w:tcW w:w="1805" w:type="dxa"/>
            <w:tcBorders>
              <w:top w:val="nil"/>
              <w:left w:val="nil"/>
              <w:bottom w:val="nil"/>
              <w:right w:val="nil"/>
            </w:tcBorders>
            <w:shd w:val="clear"/>
            <w:noWrap/>
            <w:vAlign w:val="center"/>
          </w:tcPr>
          <w:p w14:paraId="2EEF5376">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ChatGPT-guided instruction</w:t>
            </w:r>
          </w:p>
        </w:tc>
        <w:tc>
          <w:tcPr>
            <w:tcW w:w="1662" w:type="dxa"/>
            <w:tcBorders>
              <w:top w:val="nil"/>
              <w:left w:val="nil"/>
              <w:bottom w:val="nil"/>
              <w:right w:val="nil"/>
            </w:tcBorders>
            <w:shd w:val="clear"/>
            <w:noWrap/>
            <w:vAlign w:val="center"/>
          </w:tcPr>
          <w:p w14:paraId="628B8EDA">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Video-based instruction</w:t>
            </w:r>
          </w:p>
        </w:tc>
        <w:tc>
          <w:tcPr>
            <w:tcW w:w="3068" w:type="dxa"/>
            <w:tcBorders>
              <w:top w:val="nil"/>
              <w:left w:val="nil"/>
              <w:bottom w:val="nil"/>
              <w:right w:val="nil"/>
            </w:tcBorders>
            <w:shd w:val="clear"/>
            <w:noWrap/>
            <w:vAlign w:val="center"/>
          </w:tcPr>
          <w:p w14:paraId="17458E5A">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Fine procedural skill (endocrine suture)</w:t>
            </w:r>
          </w:p>
        </w:tc>
        <w:tc>
          <w:tcPr>
            <w:tcW w:w="1032" w:type="dxa"/>
            <w:tcBorders>
              <w:top w:val="nil"/>
              <w:left w:val="nil"/>
              <w:bottom w:val="nil"/>
              <w:right w:val="nil"/>
            </w:tcBorders>
            <w:shd w:val="clear"/>
            <w:noWrap/>
            <w:vAlign w:val="center"/>
          </w:tcPr>
          <w:p w14:paraId="44CA6A20">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-1.94</w:t>
            </w:r>
          </w:p>
        </w:tc>
      </w:tr>
      <w:tr w14:paraId="3CA44C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7" w:hRule="atLeast"/>
        </w:trPr>
        <w:tc>
          <w:tcPr>
            <w:tcW w:w="1705" w:type="dxa"/>
            <w:tcBorders>
              <w:top w:val="nil"/>
              <w:left w:val="nil"/>
              <w:bottom w:val="nil"/>
              <w:right w:val="nil"/>
            </w:tcBorders>
            <w:shd w:val="clear"/>
            <w:noWrap/>
            <w:vAlign w:val="center"/>
          </w:tcPr>
          <w:p w14:paraId="17E504B0">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sz w:val="22"/>
                <w:szCs w:val="22"/>
                <w:u w:val="none"/>
              </w:rPr>
              <w:t>Saloojee 2026</w:t>
            </w:r>
          </w:p>
        </w:tc>
        <w:tc>
          <w:tcPr>
            <w:tcW w:w="988" w:type="dxa"/>
            <w:tcBorders>
              <w:top w:val="nil"/>
              <w:left w:val="nil"/>
              <w:bottom w:val="nil"/>
              <w:right w:val="nil"/>
            </w:tcBorders>
            <w:shd w:val="clear"/>
            <w:noWrap/>
            <w:vAlign w:val="center"/>
          </w:tcPr>
          <w:p w14:paraId="7A7CA917">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2026</w:t>
            </w:r>
          </w:p>
        </w:tc>
        <w:tc>
          <w:tcPr>
            <w:tcW w:w="1551" w:type="dxa"/>
            <w:tcBorders>
              <w:top w:val="nil"/>
              <w:left w:val="nil"/>
              <w:bottom w:val="nil"/>
              <w:right w:val="nil"/>
            </w:tcBorders>
            <w:shd w:val="clear"/>
            <w:noWrap/>
            <w:vAlign w:val="center"/>
          </w:tcPr>
          <w:p w14:paraId="65E8E8E4">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sz w:val="22"/>
                <w:szCs w:val="22"/>
                <w:u w:val="none"/>
              </w:rPr>
              <w:t>RCT</w:t>
            </w:r>
          </w:p>
        </w:tc>
        <w:tc>
          <w:tcPr>
            <w:tcW w:w="2270" w:type="dxa"/>
            <w:tcBorders>
              <w:top w:val="nil"/>
              <w:left w:val="nil"/>
              <w:bottom w:val="nil"/>
              <w:right w:val="nil"/>
            </w:tcBorders>
            <w:shd w:val="clear"/>
            <w:noWrap/>
            <w:vAlign w:val="center"/>
          </w:tcPr>
          <w:p w14:paraId="634450BD">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73</w:t>
            </w:r>
            <w:r>
              <w:rPr>
                <w:rFonts w:hint="default" w:ascii="Times New Roman" w:hAnsi="Times New Roman" w:eastAsia="宋体" w:cs="Times New Roman"/>
                <w:i w:val="0"/>
                <w:iCs w:val="0"/>
                <w:color w:val="000000"/>
                <w:kern w:val="0"/>
                <w:sz w:val="22"/>
                <w:szCs w:val="22"/>
                <w:u w:val="none"/>
                <w:bdr w:val="none" w:color="auto" w:sz="0" w:space="0"/>
                <w:lang w:val="en-US" w:eastAsia="zh-CN" w:bidi="ar"/>
              </w:rPr>
              <w:t xml:space="preserve"> f</w:t>
            </w:r>
            <w:r>
              <w:rPr>
                <w:rFonts w:hint="default" w:ascii="Times New Roman" w:hAnsi="Times New Roman" w:eastAsia="宋体" w:cs="Times New Roman"/>
                <w:i w:val="0"/>
                <w:iCs w:val="0"/>
                <w:color w:val="000000"/>
                <w:kern w:val="0"/>
                <w:sz w:val="22"/>
                <w:szCs w:val="22"/>
                <w:u w:val="none"/>
                <w:bdr w:val="none" w:color="auto" w:sz="0" w:space="0"/>
                <w:lang w:val="en-US" w:eastAsia="zh-CN" w:bidi="ar"/>
              </w:rPr>
              <w:t xml:space="preserve">inal-year </w:t>
            </w:r>
            <w:r>
              <w:rPr>
                <w:rFonts w:hint="default" w:ascii="Times New Roman" w:hAnsi="Times New Roman" w:eastAsia="宋体" w:cs="Times New Roman"/>
                <w:i w:val="0"/>
                <w:iCs w:val="0"/>
                <w:color w:val="000000"/>
                <w:kern w:val="0"/>
                <w:sz w:val="22"/>
                <w:szCs w:val="22"/>
                <w:u w:val="none"/>
                <w:bdr w:val="none" w:color="auto" w:sz="0" w:space="0"/>
                <w:lang w:val="en-US" w:eastAsia="zh-CN" w:bidi="ar"/>
              </w:rPr>
              <w:t xml:space="preserve">medical </w:t>
            </w:r>
            <w:r>
              <w:rPr>
                <w:rFonts w:hint="default" w:ascii="Times New Roman" w:hAnsi="Times New Roman" w:eastAsia="宋体" w:cs="Times New Roman"/>
                <w:i w:val="0"/>
                <w:iCs w:val="0"/>
                <w:color w:val="000000"/>
                <w:kern w:val="0"/>
                <w:sz w:val="22"/>
                <w:szCs w:val="22"/>
                <w:u w:val="none"/>
                <w:bdr w:val="none" w:color="auto" w:sz="0" w:space="0"/>
                <w:lang w:val="en-US" w:eastAsia="zh-CN" w:bidi="ar"/>
              </w:rPr>
              <w:t>students</w:t>
            </w:r>
          </w:p>
        </w:tc>
        <w:tc>
          <w:tcPr>
            <w:tcW w:w="1805" w:type="dxa"/>
            <w:tcBorders>
              <w:top w:val="nil"/>
              <w:left w:val="nil"/>
              <w:bottom w:val="nil"/>
              <w:right w:val="nil"/>
            </w:tcBorders>
            <w:shd w:val="clear"/>
            <w:noWrap/>
            <w:vAlign w:val="center"/>
          </w:tcPr>
          <w:p w14:paraId="5575A9BF">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ChatGPT</w:t>
            </w:r>
          </w:p>
        </w:tc>
        <w:tc>
          <w:tcPr>
            <w:tcW w:w="1662" w:type="dxa"/>
            <w:tcBorders>
              <w:top w:val="nil"/>
              <w:left w:val="nil"/>
              <w:bottom w:val="nil"/>
              <w:right w:val="nil"/>
            </w:tcBorders>
            <w:shd w:val="clear"/>
            <w:noWrap/>
            <w:vAlign w:val="center"/>
          </w:tcPr>
          <w:p w14:paraId="6C700CDF">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without any digital aids</w:t>
            </w:r>
          </w:p>
        </w:tc>
        <w:tc>
          <w:tcPr>
            <w:tcW w:w="3068" w:type="dxa"/>
            <w:tcBorders>
              <w:top w:val="nil"/>
              <w:left w:val="nil"/>
              <w:bottom w:val="nil"/>
              <w:right w:val="nil"/>
            </w:tcBorders>
            <w:shd w:val="clear"/>
            <w:noWrap/>
            <w:vAlign w:val="center"/>
          </w:tcPr>
          <w:p w14:paraId="0BD28A74">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Clinical skills/clinical performance scores</w:t>
            </w:r>
          </w:p>
        </w:tc>
        <w:tc>
          <w:tcPr>
            <w:tcW w:w="1032" w:type="dxa"/>
            <w:tcBorders>
              <w:top w:val="nil"/>
              <w:left w:val="nil"/>
              <w:bottom w:val="nil"/>
              <w:right w:val="nil"/>
            </w:tcBorders>
            <w:shd w:val="clear"/>
            <w:noWrap/>
            <w:vAlign w:val="center"/>
          </w:tcPr>
          <w:p w14:paraId="3572A932">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default" w:ascii="Times New Roman" w:hAnsi="Times New Roman" w:eastAsia="宋体" w:cs="Times New Roman"/>
                <w:i w:val="0"/>
                <w:iCs w:val="0"/>
                <w:color w:val="000000"/>
                <w:sz w:val="22"/>
                <w:szCs w:val="22"/>
                <w:u w:val="none"/>
                <w:lang w:val="en-US" w:eastAsia="zh-CN"/>
              </w:rPr>
            </w:pPr>
            <w:r>
              <w:rPr>
                <w:rFonts w:hint="default" w:ascii="Times New Roman" w:hAnsi="Times New Roman" w:eastAsia="宋体" w:cs="Times New Roman"/>
                <w:i w:val="0"/>
                <w:iCs w:val="0"/>
                <w:color w:val="000000"/>
                <w:sz w:val="22"/>
                <w:szCs w:val="22"/>
                <w:u w:val="none"/>
                <w:lang w:val="en-US" w:eastAsia="zh-CN"/>
              </w:rPr>
              <w:t>-0.16</w:t>
            </w:r>
          </w:p>
        </w:tc>
      </w:tr>
      <w:tr w14:paraId="4E9CD1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7" w:hRule="atLeast"/>
        </w:trPr>
        <w:tc>
          <w:tcPr>
            <w:tcW w:w="1705" w:type="dxa"/>
            <w:tcBorders>
              <w:top w:val="nil"/>
              <w:left w:val="nil"/>
              <w:bottom w:val="nil"/>
              <w:right w:val="nil"/>
            </w:tcBorders>
            <w:shd w:val="clear"/>
            <w:noWrap/>
            <w:vAlign w:val="center"/>
          </w:tcPr>
          <w:p w14:paraId="21D97D34">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sz w:val="22"/>
                <w:szCs w:val="22"/>
                <w:u w:val="none"/>
              </w:rPr>
              <w:t>Salimi 2026</w:t>
            </w:r>
          </w:p>
        </w:tc>
        <w:tc>
          <w:tcPr>
            <w:tcW w:w="988" w:type="dxa"/>
            <w:tcBorders>
              <w:top w:val="nil"/>
              <w:left w:val="nil"/>
              <w:bottom w:val="nil"/>
              <w:right w:val="nil"/>
            </w:tcBorders>
            <w:shd w:val="clear"/>
            <w:noWrap/>
            <w:vAlign w:val="center"/>
          </w:tcPr>
          <w:p w14:paraId="1FB05229">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default" w:ascii="Times New Roman" w:hAnsi="Times New Roman" w:eastAsia="宋体" w:cs="Times New Roman"/>
                <w:i w:val="0"/>
                <w:iCs w:val="0"/>
                <w:color w:val="000000"/>
                <w:kern w:val="0"/>
                <w:sz w:val="22"/>
                <w:szCs w:val="22"/>
                <w:u w:val="none"/>
                <w:bdr w:val="none" w:color="auto" w:sz="0" w:space="0"/>
                <w:lang w:val="en-US" w:eastAsia="zh-CN" w:bidi="ar"/>
              </w:rPr>
            </w:pPr>
            <w:r>
              <w:rPr>
                <w:rFonts w:hint="eastAsia" w:ascii="Times New Roman" w:hAnsi="Times New Roman" w:eastAsia="宋体" w:cs="Times New Roman"/>
                <w:i w:val="0"/>
                <w:iCs w:val="0"/>
                <w:color w:val="000000"/>
                <w:kern w:val="0"/>
                <w:sz w:val="22"/>
                <w:szCs w:val="22"/>
                <w:u w:val="none"/>
                <w:bdr w:val="none" w:color="auto" w:sz="0" w:space="0"/>
                <w:lang w:val="en-US" w:eastAsia="zh-CN" w:bidi="ar"/>
              </w:rPr>
              <w:t>2026</w:t>
            </w:r>
          </w:p>
        </w:tc>
        <w:tc>
          <w:tcPr>
            <w:tcW w:w="1551" w:type="dxa"/>
            <w:tcBorders>
              <w:top w:val="nil"/>
              <w:left w:val="nil"/>
              <w:bottom w:val="nil"/>
              <w:right w:val="nil"/>
            </w:tcBorders>
            <w:shd w:val="clear"/>
            <w:noWrap/>
            <w:vAlign w:val="center"/>
          </w:tcPr>
          <w:p w14:paraId="75476F29">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sz w:val="22"/>
                <w:szCs w:val="22"/>
                <w:u w:val="none"/>
              </w:rPr>
              <w:t>quasi-experimental research</w:t>
            </w:r>
          </w:p>
        </w:tc>
        <w:tc>
          <w:tcPr>
            <w:tcW w:w="2270" w:type="dxa"/>
            <w:tcBorders>
              <w:top w:val="nil"/>
              <w:left w:val="nil"/>
              <w:bottom w:val="nil"/>
              <w:right w:val="nil"/>
            </w:tcBorders>
            <w:shd w:val="clear"/>
            <w:noWrap/>
            <w:vAlign w:val="center"/>
          </w:tcPr>
          <w:p w14:paraId="3648C2E5">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91</w:t>
            </w:r>
            <w:r>
              <w:rPr>
                <w:rFonts w:hint="eastAsia" w:ascii="Times New Roman" w:hAnsi="Times New Roman" w:eastAsia="宋体" w:cs="Times New Roman"/>
                <w:i w:val="0"/>
                <w:iCs w:val="0"/>
                <w:color w:val="000000"/>
                <w:kern w:val="0"/>
                <w:sz w:val="22"/>
                <w:szCs w:val="22"/>
                <w:u w:val="none"/>
                <w:lang w:val="en-US" w:eastAsia="zh-CN" w:bidi="ar"/>
              </w:rPr>
              <w:t xml:space="preserve"> </w:t>
            </w:r>
            <w:r>
              <w:rPr>
                <w:rFonts w:hint="default" w:ascii="Times New Roman" w:hAnsi="Times New Roman" w:eastAsia="宋体" w:cs="Times New Roman"/>
                <w:i w:val="0"/>
                <w:iCs w:val="0"/>
                <w:color w:val="000000"/>
                <w:kern w:val="0"/>
                <w:sz w:val="22"/>
                <w:szCs w:val="22"/>
                <w:u w:val="none"/>
                <w:lang w:val="en-US" w:eastAsia="zh-CN" w:bidi="ar"/>
              </w:rPr>
              <w:t>third to sixth academic semesters nursing students</w:t>
            </w:r>
          </w:p>
        </w:tc>
        <w:tc>
          <w:tcPr>
            <w:tcW w:w="1805" w:type="dxa"/>
            <w:tcBorders>
              <w:top w:val="nil"/>
              <w:left w:val="nil"/>
              <w:bottom w:val="nil"/>
              <w:right w:val="nil"/>
            </w:tcBorders>
            <w:shd w:val="clear"/>
            <w:noWrap/>
            <w:vAlign w:val="center"/>
          </w:tcPr>
          <w:p w14:paraId="2DCBCBAC">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default" w:ascii="Times New Roman" w:hAnsi="Times New Roman" w:eastAsia="宋体" w:cs="Times New Roman"/>
                <w:i w:val="0"/>
                <w:iCs w:val="0"/>
                <w:color w:val="000000"/>
                <w:kern w:val="0"/>
                <w:sz w:val="22"/>
                <w:szCs w:val="22"/>
                <w:u w:val="none"/>
                <w:bdr w:val="none" w:color="auto" w:sz="0" w:space="0"/>
                <w:lang w:val="en-US" w:eastAsia="zh-CN" w:bidi="ar"/>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ChatGPT</w:t>
            </w:r>
          </w:p>
        </w:tc>
        <w:tc>
          <w:tcPr>
            <w:tcW w:w="1662" w:type="dxa"/>
            <w:tcBorders>
              <w:top w:val="nil"/>
              <w:left w:val="nil"/>
              <w:bottom w:val="nil"/>
              <w:right w:val="nil"/>
            </w:tcBorders>
            <w:shd w:val="clear"/>
            <w:noWrap/>
            <w:vAlign w:val="center"/>
          </w:tcPr>
          <w:p w14:paraId="5C289EF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000000"/>
                <w:kern w:val="0"/>
                <w:sz w:val="22"/>
                <w:szCs w:val="22"/>
                <w:u w:val="none"/>
                <w:bdr w:val="none" w:color="auto" w:sz="0" w:space="0"/>
                <w:lang w:val="en-US" w:eastAsia="zh-CN" w:bidi="ar"/>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escape rooms (ERs), Control</w:t>
            </w:r>
          </w:p>
        </w:tc>
        <w:tc>
          <w:tcPr>
            <w:tcW w:w="3068" w:type="dxa"/>
            <w:tcBorders>
              <w:top w:val="nil"/>
              <w:left w:val="nil"/>
              <w:bottom w:val="nil"/>
              <w:right w:val="nil"/>
            </w:tcBorders>
            <w:shd w:val="clear"/>
            <w:noWrap/>
            <w:vAlign w:val="center"/>
          </w:tcPr>
          <w:p w14:paraId="3ABB5D56">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default" w:ascii="Times New Roman" w:hAnsi="Times New Roman" w:eastAsia="宋体" w:cs="Times New Roman"/>
                <w:i w:val="0"/>
                <w:iCs w:val="0"/>
                <w:color w:val="000000"/>
                <w:kern w:val="0"/>
                <w:sz w:val="22"/>
                <w:szCs w:val="22"/>
                <w:u w:val="none"/>
                <w:bdr w:val="none" w:color="auto" w:sz="0" w:space="0"/>
                <w:lang w:val="en-US" w:eastAsia="zh-CN" w:bidi="ar"/>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Knowledge exam scores/arterial blood gas interpretation scale (ABGIS)</w:t>
            </w:r>
          </w:p>
        </w:tc>
        <w:tc>
          <w:tcPr>
            <w:tcW w:w="1032" w:type="dxa"/>
            <w:tcBorders>
              <w:top w:val="nil"/>
              <w:left w:val="nil"/>
              <w:bottom w:val="nil"/>
              <w:right w:val="nil"/>
            </w:tcBorders>
            <w:shd w:val="clear"/>
            <w:noWrap/>
            <w:vAlign w:val="center"/>
          </w:tcPr>
          <w:p w14:paraId="5F9702E7">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default" w:ascii="Times New Roman" w:hAnsi="Times New Roman" w:eastAsia="宋体" w:cs="Times New Roman"/>
                <w:i w:val="0"/>
                <w:iCs w:val="0"/>
                <w:color w:val="000000"/>
                <w:sz w:val="22"/>
                <w:szCs w:val="22"/>
                <w:u w:val="none"/>
                <w:lang w:val="en-US" w:eastAsia="zh-CN"/>
              </w:rPr>
            </w:pPr>
            <w:r>
              <w:rPr>
                <w:rFonts w:hint="eastAsia" w:ascii="Times New Roman" w:hAnsi="Times New Roman" w:eastAsia="宋体" w:cs="Times New Roman"/>
                <w:i w:val="0"/>
                <w:iCs w:val="0"/>
                <w:color w:val="000000"/>
                <w:sz w:val="22"/>
                <w:szCs w:val="22"/>
                <w:u w:val="none"/>
                <w:lang w:val="en-US" w:eastAsia="zh-CN"/>
              </w:rPr>
              <w:t>1.91 and 1.25</w:t>
            </w:r>
          </w:p>
        </w:tc>
      </w:tr>
    </w:tbl>
    <w:p w14:paraId="6E1A6F28">
      <w:pPr>
        <w:rPr>
          <w:rFonts w:hint="default" w:ascii="Times New Roman" w:hAnsi="Times New Roman" w:cs="Times New Roman"/>
          <w:lang w:val="en-US" w:eastAsia="zh-CN"/>
        </w:rPr>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9"/>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7D7113E"/>
    <w:rsid w:val="0DF50570"/>
    <w:rsid w:val="0EFE62B7"/>
    <w:rsid w:val="1ADE4866"/>
    <w:rsid w:val="3438389B"/>
    <w:rsid w:val="36BE50F4"/>
    <w:rsid w:val="393131B8"/>
    <w:rsid w:val="6BF73221"/>
    <w:rsid w:val="70F353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image" Target="media/image4.tiff"/><Relationship Id="rId6" Type="http://schemas.openxmlformats.org/officeDocument/2006/relationships/image" Target="media/image3.png"/><Relationship Id="rId5" Type="http://schemas.openxmlformats.org/officeDocument/2006/relationships/image" Target="media/image2.tiff"/><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0</Words>
  <Characters>0</Characters>
  <Lines>0</Lines>
  <Paragraphs>0</Paragraphs>
  <TotalTime>161</TotalTime>
  <ScaleCrop>false</ScaleCrop>
  <LinksUpToDate>false</LinksUpToDate>
  <CharactersWithSpaces>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2026-05-01T03:11:24Z</dcterms:created>
  <dc:creator>Administrator</dc:creator>
  <cp:lastModifiedBy>谢官莉</cp:lastModifiedBy>
  <dcterms:modified xsi:type="dcterms:W3CDTF">2026-05-01T07:08:55Z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KSOTemplateDocerSaveRecord">
    <vt:lpwstr>eyJoZGlkIjoiZjNhZjI2ZWY5ZmVhNzQwZGE5ODllYjM3ZDUzOWQxNTkiLCJ1c2VySWQiOiIxNjY0OTQ4NTExIn0=</vt:lpwstr>
  </property>
  <property fmtid="{D5CDD505-2E9C-101B-9397-08002B2CF9AE}" pid="4" name="ICV">
    <vt:lpwstr>854D2E5700C04E0AA97B09D40EFAB0F4_12</vt:lpwstr>
  </property>
</Properties>
</file>