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AF9AD3" w14:textId="7FEBA85A" w:rsidR="00FA7111" w:rsidRPr="007A395E" w:rsidRDefault="00A00CC3" w:rsidP="00A72ECB">
      <w:pPr>
        <w:spacing w:line="360" w:lineRule="auto"/>
        <w:ind w:right="283"/>
        <w:jc w:val="both"/>
        <w:rPr>
          <w:rFonts w:ascii="Times" w:hAnsi="Times" w:cs="Times New Roman"/>
          <w:i/>
          <w:sz w:val="22"/>
          <w:szCs w:val="22"/>
          <w:lang w:val="en-US"/>
        </w:rPr>
      </w:pPr>
      <w:r w:rsidRPr="00B347F9">
        <w:rPr>
          <w:rFonts w:ascii="Times" w:hAnsi="Times" w:cs="Times New Roman"/>
          <w:bCs/>
          <w:i/>
          <w:iCs/>
          <w:sz w:val="22"/>
          <w:szCs w:val="22"/>
          <w:lang w:val="en-US"/>
        </w:rPr>
        <w:t>Table 1: Thematic analysis of undergraduates' insight on the role of health education in improving community health (N=15)</w:t>
      </w:r>
      <w:bookmarkStart w:id="0" w:name="_GoBack"/>
      <w:bookmarkEnd w:id="0"/>
    </w:p>
    <w:tbl>
      <w:tblPr>
        <w:tblStyle w:val="TableGrid"/>
        <w:tblW w:w="0" w:type="auto"/>
        <w:tblLook w:val="04A0" w:firstRow="1" w:lastRow="0" w:firstColumn="1" w:lastColumn="0" w:noHBand="0" w:noVBand="1"/>
      </w:tblPr>
      <w:tblGrid>
        <w:gridCol w:w="2547"/>
        <w:gridCol w:w="2410"/>
        <w:gridCol w:w="4053"/>
      </w:tblGrid>
      <w:tr w:rsidR="00A00CC3" w:rsidRPr="00B347F9" w14:paraId="1094DBB6" w14:textId="77777777" w:rsidTr="00791CAB">
        <w:tc>
          <w:tcPr>
            <w:tcW w:w="2547" w:type="dxa"/>
          </w:tcPr>
          <w:p w14:paraId="4415E482" w14:textId="77777777" w:rsidR="00A00CC3" w:rsidRPr="00B347F9" w:rsidRDefault="00A00CC3" w:rsidP="00A72ECB">
            <w:pPr>
              <w:spacing w:line="360" w:lineRule="auto"/>
              <w:ind w:right="283"/>
              <w:jc w:val="both"/>
              <w:rPr>
                <w:rFonts w:ascii="Times" w:hAnsi="Times" w:cs="Times New Roman"/>
                <w:b/>
                <w:sz w:val="22"/>
                <w:szCs w:val="22"/>
                <w:lang w:val="en-US"/>
              </w:rPr>
            </w:pPr>
            <w:r w:rsidRPr="00B347F9">
              <w:rPr>
                <w:rFonts w:ascii="Times" w:hAnsi="Times" w:cs="Times New Roman"/>
                <w:b/>
                <w:sz w:val="22"/>
                <w:szCs w:val="22"/>
                <w:lang w:val="en-US"/>
              </w:rPr>
              <w:t>Themes</w:t>
            </w:r>
          </w:p>
        </w:tc>
        <w:tc>
          <w:tcPr>
            <w:tcW w:w="2410" w:type="dxa"/>
          </w:tcPr>
          <w:p w14:paraId="16EC2ACB" w14:textId="77777777" w:rsidR="00A00CC3" w:rsidRPr="00B347F9" w:rsidRDefault="00A00CC3" w:rsidP="00A72ECB">
            <w:pPr>
              <w:spacing w:line="360" w:lineRule="auto"/>
              <w:ind w:right="283"/>
              <w:jc w:val="both"/>
              <w:rPr>
                <w:rFonts w:ascii="Times" w:hAnsi="Times" w:cs="Times New Roman"/>
                <w:b/>
                <w:sz w:val="22"/>
                <w:szCs w:val="22"/>
                <w:lang w:val="en-US"/>
              </w:rPr>
            </w:pPr>
            <w:r w:rsidRPr="00B347F9">
              <w:rPr>
                <w:rFonts w:ascii="Times" w:hAnsi="Times" w:cs="Times New Roman"/>
                <w:b/>
                <w:sz w:val="22"/>
                <w:szCs w:val="22"/>
                <w:lang w:val="en-US"/>
              </w:rPr>
              <w:t>Sub-themes</w:t>
            </w:r>
          </w:p>
        </w:tc>
        <w:tc>
          <w:tcPr>
            <w:tcW w:w="4053" w:type="dxa"/>
          </w:tcPr>
          <w:p w14:paraId="7D325FDF" w14:textId="77777777" w:rsidR="00A00CC3" w:rsidRPr="00B347F9" w:rsidRDefault="00A00CC3" w:rsidP="00A72ECB">
            <w:pPr>
              <w:spacing w:line="360" w:lineRule="auto"/>
              <w:ind w:right="283"/>
              <w:jc w:val="both"/>
              <w:rPr>
                <w:rFonts w:ascii="Times" w:hAnsi="Times" w:cs="Times New Roman"/>
                <w:b/>
                <w:sz w:val="22"/>
                <w:szCs w:val="22"/>
                <w:lang w:val="en-US"/>
              </w:rPr>
            </w:pPr>
            <w:r w:rsidRPr="00B347F9">
              <w:rPr>
                <w:rFonts w:ascii="Times" w:hAnsi="Times" w:cs="Times New Roman"/>
                <w:b/>
                <w:sz w:val="22"/>
                <w:szCs w:val="22"/>
                <w:lang w:val="en-US"/>
              </w:rPr>
              <w:t>Codes</w:t>
            </w:r>
          </w:p>
        </w:tc>
      </w:tr>
      <w:tr w:rsidR="00A00CC3" w:rsidRPr="00B347F9" w14:paraId="3AF31E75" w14:textId="77777777" w:rsidTr="00791CAB">
        <w:tc>
          <w:tcPr>
            <w:tcW w:w="2547" w:type="dxa"/>
          </w:tcPr>
          <w:p w14:paraId="39BD8599" w14:textId="77777777" w:rsidR="00A00CC3" w:rsidRPr="00B347F9" w:rsidRDefault="00A00CC3" w:rsidP="00A72ECB">
            <w:pPr>
              <w:spacing w:line="360" w:lineRule="auto"/>
              <w:ind w:right="283"/>
              <w:jc w:val="both"/>
              <w:rPr>
                <w:rFonts w:ascii="Times" w:hAnsi="Times" w:cs="Times New Roman"/>
                <w:sz w:val="22"/>
                <w:szCs w:val="22"/>
                <w:lang w:val="en-US"/>
              </w:rPr>
            </w:pPr>
            <w:r w:rsidRPr="00B347F9">
              <w:rPr>
                <w:rFonts w:ascii="Times" w:hAnsi="Times" w:cs="Times New Roman"/>
                <w:sz w:val="22"/>
                <w:szCs w:val="22"/>
                <w:lang w:val="en-US"/>
              </w:rPr>
              <w:t>Perceived importance of health education</w:t>
            </w:r>
          </w:p>
        </w:tc>
        <w:tc>
          <w:tcPr>
            <w:tcW w:w="2410" w:type="dxa"/>
          </w:tcPr>
          <w:p w14:paraId="36BB0611" w14:textId="77777777" w:rsidR="00A00CC3" w:rsidRPr="00B347F9" w:rsidRDefault="00A00CC3" w:rsidP="00A72ECB">
            <w:pPr>
              <w:spacing w:line="360" w:lineRule="auto"/>
              <w:ind w:right="283"/>
              <w:jc w:val="both"/>
              <w:rPr>
                <w:rFonts w:ascii="Times" w:hAnsi="Times" w:cs="Times New Roman"/>
                <w:sz w:val="22"/>
                <w:szCs w:val="22"/>
                <w:lang w:val="en-US"/>
              </w:rPr>
            </w:pPr>
            <w:r w:rsidRPr="00B347F9">
              <w:rPr>
                <w:rFonts w:ascii="Times" w:hAnsi="Times" w:cs="Times New Roman"/>
                <w:sz w:val="22"/>
                <w:szCs w:val="22"/>
                <w:lang w:val="en-US"/>
              </w:rPr>
              <w:t>Health education as a preventive public health strategy</w:t>
            </w:r>
          </w:p>
        </w:tc>
        <w:tc>
          <w:tcPr>
            <w:tcW w:w="4053" w:type="dxa"/>
          </w:tcPr>
          <w:p w14:paraId="3FE47897" w14:textId="77777777" w:rsidR="00A00CC3" w:rsidRPr="00B347F9" w:rsidRDefault="00A00CC3" w:rsidP="00A72ECB">
            <w:pPr>
              <w:spacing w:line="360" w:lineRule="auto"/>
              <w:ind w:right="283"/>
              <w:jc w:val="both"/>
              <w:rPr>
                <w:rFonts w:ascii="Times" w:hAnsi="Times" w:cs="Times New Roman"/>
                <w:sz w:val="22"/>
                <w:szCs w:val="22"/>
                <w:lang w:val="en-US"/>
              </w:rPr>
            </w:pPr>
            <w:r w:rsidRPr="00B347F9">
              <w:rPr>
                <w:rFonts w:ascii="Times" w:hAnsi="Times" w:cs="Times New Roman"/>
                <w:sz w:val="22"/>
                <w:szCs w:val="22"/>
                <w:lang w:val="en-US"/>
              </w:rPr>
              <w:t>Disease prevention awareness, Community disease literacy, preventive healthcare promotion, public health advocacy</w:t>
            </w:r>
          </w:p>
        </w:tc>
      </w:tr>
      <w:tr w:rsidR="00A00CC3" w:rsidRPr="00B347F9" w14:paraId="7D3044F2" w14:textId="77777777" w:rsidTr="00791CAB">
        <w:tc>
          <w:tcPr>
            <w:tcW w:w="2547" w:type="dxa"/>
          </w:tcPr>
          <w:p w14:paraId="1BE45409" w14:textId="77777777" w:rsidR="00A00CC3" w:rsidRPr="00B347F9" w:rsidRDefault="00A00CC3" w:rsidP="00A72ECB">
            <w:pPr>
              <w:spacing w:line="360" w:lineRule="auto"/>
              <w:ind w:right="283"/>
              <w:jc w:val="both"/>
              <w:rPr>
                <w:rFonts w:ascii="Times" w:hAnsi="Times" w:cs="Times New Roman"/>
                <w:sz w:val="22"/>
                <w:szCs w:val="22"/>
                <w:lang w:val="en-US"/>
              </w:rPr>
            </w:pPr>
          </w:p>
        </w:tc>
        <w:tc>
          <w:tcPr>
            <w:tcW w:w="2410" w:type="dxa"/>
          </w:tcPr>
          <w:p w14:paraId="21789578" w14:textId="77777777" w:rsidR="00A00CC3" w:rsidRPr="00B347F9" w:rsidRDefault="00A00CC3" w:rsidP="00A72ECB">
            <w:pPr>
              <w:spacing w:line="360" w:lineRule="auto"/>
              <w:ind w:right="283"/>
              <w:jc w:val="both"/>
              <w:rPr>
                <w:rFonts w:ascii="Times" w:hAnsi="Times" w:cs="Times New Roman"/>
                <w:sz w:val="22"/>
                <w:szCs w:val="22"/>
                <w:lang w:val="en-US"/>
              </w:rPr>
            </w:pPr>
            <w:r w:rsidRPr="00B347F9">
              <w:rPr>
                <w:rFonts w:ascii="Times" w:hAnsi="Times" w:cs="Times New Roman"/>
                <w:sz w:val="22"/>
                <w:szCs w:val="22"/>
                <w:lang w:val="en-US"/>
              </w:rPr>
              <w:t>Health education as a tool for awareness and empowerment</w:t>
            </w:r>
          </w:p>
        </w:tc>
        <w:tc>
          <w:tcPr>
            <w:tcW w:w="4053" w:type="dxa"/>
          </w:tcPr>
          <w:p w14:paraId="2A0AD8EA" w14:textId="77777777" w:rsidR="00A00CC3" w:rsidRPr="00B347F9" w:rsidRDefault="00A00CC3" w:rsidP="00A72ECB">
            <w:pPr>
              <w:spacing w:line="360" w:lineRule="auto"/>
              <w:ind w:right="283"/>
              <w:jc w:val="both"/>
              <w:rPr>
                <w:rFonts w:ascii="Times" w:hAnsi="Times" w:cs="Times New Roman"/>
                <w:sz w:val="22"/>
                <w:szCs w:val="22"/>
                <w:lang w:val="en-US"/>
              </w:rPr>
            </w:pPr>
            <w:r w:rsidRPr="00B347F9">
              <w:rPr>
                <w:rFonts w:ascii="Times" w:hAnsi="Times" w:cs="Times New Roman"/>
                <w:sz w:val="22"/>
                <w:szCs w:val="22"/>
                <w:lang w:val="en-US"/>
              </w:rPr>
              <w:t>Knowledge dissemination, community-wide awareness, health literacy enhancement, community empowerment</w:t>
            </w:r>
          </w:p>
        </w:tc>
      </w:tr>
      <w:tr w:rsidR="00A00CC3" w:rsidRPr="00B347F9" w14:paraId="05D10EAC" w14:textId="77777777" w:rsidTr="00791CAB">
        <w:tc>
          <w:tcPr>
            <w:tcW w:w="2547" w:type="dxa"/>
          </w:tcPr>
          <w:p w14:paraId="3FD2041B" w14:textId="77777777" w:rsidR="00A00CC3" w:rsidRPr="00B347F9" w:rsidRDefault="00A00CC3" w:rsidP="00A72ECB">
            <w:pPr>
              <w:spacing w:line="360" w:lineRule="auto"/>
              <w:ind w:right="283"/>
              <w:jc w:val="both"/>
              <w:rPr>
                <w:rFonts w:ascii="Times" w:hAnsi="Times" w:cs="Times New Roman"/>
                <w:sz w:val="22"/>
                <w:szCs w:val="22"/>
                <w:lang w:val="en-US"/>
              </w:rPr>
            </w:pPr>
            <w:r w:rsidRPr="00B347F9">
              <w:rPr>
                <w:rFonts w:ascii="Times" w:hAnsi="Times" w:cs="Times New Roman"/>
                <w:sz w:val="22"/>
                <w:szCs w:val="22"/>
                <w:lang w:val="en-US"/>
              </w:rPr>
              <w:t>Innovative Approaches for Health Promotion</w:t>
            </w:r>
          </w:p>
        </w:tc>
        <w:tc>
          <w:tcPr>
            <w:tcW w:w="2410" w:type="dxa"/>
          </w:tcPr>
          <w:p w14:paraId="76F453F3" w14:textId="77777777" w:rsidR="00A00CC3" w:rsidRPr="00B347F9" w:rsidRDefault="00A00CC3" w:rsidP="00A72ECB">
            <w:pPr>
              <w:spacing w:line="360" w:lineRule="auto"/>
              <w:ind w:right="283"/>
              <w:jc w:val="both"/>
              <w:rPr>
                <w:rFonts w:ascii="Times" w:hAnsi="Times" w:cs="Times New Roman"/>
                <w:sz w:val="22"/>
                <w:szCs w:val="22"/>
                <w:lang w:val="en-US"/>
              </w:rPr>
            </w:pPr>
            <w:r w:rsidRPr="00B347F9">
              <w:rPr>
                <w:rFonts w:ascii="Times" w:hAnsi="Times" w:cs="Times New Roman"/>
                <w:sz w:val="22"/>
                <w:szCs w:val="22"/>
                <w:lang w:val="en-US"/>
              </w:rPr>
              <w:t>Interactive and participatory educational approaches</w:t>
            </w:r>
          </w:p>
        </w:tc>
        <w:tc>
          <w:tcPr>
            <w:tcW w:w="4053" w:type="dxa"/>
          </w:tcPr>
          <w:p w14:paraId="164590CF" w14:textId="77777777" w:rsidR="00A00CC3" w:rsidRPr="00B347F9" w:rsidRDefault="00A00CC3" w:rsidP="00A72ECB">
            <w:pPr>
              <w:spacing w:line="360" w:lineRule="auto"/>
              <w:ind w:right="283"/>
              <w:jc w:val="both"/>
              <w:rPr>
                <w:rFonts w:ascii="Times" w:hAnsi="Times" w:cs="Times New Roman"/>
                <w:sz w:val="22"/>
                <w:szCs w:val="22"/>
                <w:lang w:val="en-US"/>
              </w:rPr>
            </w:pPr>
            <w:r w:rsidRPr="00B347F9">
              <w:rPr>
                <w:rFonts w:ascii="Times" w:hAnsi="Times" w:cs="Times New Roman"/>
                <w:sz w:val="22"/>
                <w:szCs w:val="22"/>
                <w:lang w:val="en-US"/>
              </w:rPr>
              <w:t>Role-play based learning, Entertainment based education, interactive community education.</w:t>
            </w:r>
          </w:p>
        </w:tc>
      </w:tr>
      <w:tr w:rsidR="00A00CC3" w:rsidRPr="00B347F9" w14:paraId="30DD4C75" w14:textId="77777777" w:rsidTr="00791CAB">
        <w:tc>
          <w:tcPr>
            <w:tcW w:w="2547" w:type="dxa"/>
          </w:tcPr>
          <w:p w14:paraId="402C9C2C" w14:textId="77777777" w:rsidR="00A00CC3" w:rsidRPr="00B347F9" w:rsidRDefault="00A00CC3" w:rsidP="00A72ECB">
            <w:pPr>
              <w:spacing w:line="360" w:lineRule="auto"/>
              <w:ind w:right="283"/>
              <w:jc w:val="both"/>
              <w:rPr>
                <w:rFonts w:ascii="Times" w:hAnsi="Times" w:cs="Times New Roman"/>
                <w:sz w:val="22"/>
                <w:szCs w:val="22"/>
                <w:lang w:val="en-US"/>
              </w:rPr>
            </w:pPr>
          </w:p>
        </w:tc>
        <w:tc>
          <w:tcPr>
            <w:tcW w:w="2410" w:type="dxa"/>
          </w:tcPr>
          <w:p w14:paraId="0A702CF6" w14:textId="77777777" w:rsidR="00A00CC3" w:rsidRPr="00B347F9" w:rsidRDefault="00A00CC3" w:rsidP="00A72ECB">
            <w:pPr>
              <w:spacing w:line="360" w:lineRule="auto"/>
              <w:ind w:right="283"/>
              <w:jc w:val="both"/>
              <w:rPr>
                <w:rFonts w:ascii="Times" w:hAnsi="Times" w:cs="Times New Roman"/>
                <w:sz w:val="22"/>
                <w:szCs w:val="22"/>
                <w:lang w:val="en-US"/>
              </w:rPr>
            </w:pPr>
            <w:r w:rsidRPr="00B347F9">
              <w:rPr>
                <w:rFonts w:ascii="Times" w:hAnsi="Times" w:cs="Times New Roman"/>
                <w:sz w:val="22"/>
                <w:szCs w:val="22"/>
                <w:lang w:val="en-US"/>
              </w:rPr>
              <w:t>Use of culturally appropriate and mass-media communication</w:t>
            </w:r>
          </w:p>
        </w:tc>
        <w:tc>
          <w:tcPr>
            <w:tcW w:w="4053" w:type="dxa"/>
          </w:tcPr>
          <w:p w14:paraId="0C799F34" w14:textId="77777777" w:rsidR="00A00CC3" w:rsidRPr="00B347F9" w:rsidRDefault="00A00CC3" w:rsidP="00A72ECB">
            <w:pPr>
              <w:spacing w:line="360" w:lineRule="auto"/>
              <w:ind w:right="283"/>
              <w:jc w:val="both"/>
              <w:rPr>
                <w:rFonts w:ascii="Times" w:hAnsi="Times" w:cs="Times New Roman"/>
                <w:sz w:val="22"/>
                <w:szCs w:val="22"/>
                <w:lang w:val="en-US"/>
              </w:rPr>
            </w:pPr>
            <w:r w:rsidRPr="00B347F9">
              <w:rPr>
                <w:rFonts w:ascii="Times" w:hAnsi="Times"/>
                <w:sz w:val="22"/>
                <w:szCs w:val="22"/>
              </w:rPr>
              <w:t>Local-language communication, Digital and mass-media outreach, community campaigns, audience- centred communication</w:t>
            </w:r>
          </w:p>
        </w:tc>
      </w:tr>
      <w:tr w:rsidR="00A00CC3" w:rsidRPr="00B347F9" w14:paraId="0A00010E" w14:textId="77777777" w:rsidTr="00791CAB">
        <w:tc>
          <w:tcPr>
            <w:tcW w:w="2547" w:type="dxa"/>
          </w:tcPr>
          <w:p w14:paraId="34CAF1AE" w14:textId="77777777" w:rsidR="00A00CC3" w:rsidRPr="00B347F9" w:rsidRDefault="00A00CC3" w:rsidP="00A72ECB">
            <w:pPr>
              <w:spacing w:line="360" w:lineRule="auto"/>
              <w:ind w:right="283"/>
              <w:jc w:val="both"/>
              <w:rPr>
                <w:rFonts w:ascii="Times" w:hAnsi="Times" w:cs="Times New Roman"/>
                <w:sz w:val="22"/>
                <w:szCs w:val="22"/>
                <w:lang w:val="en-US"/>
              </w:rPr>
            </w:pPr>
            <w:r w:rsidRPr="00B347F9">
              <w:rPr>
                <w:rFonts w:ascii="Times" w:hAnsi="Times" w:cs="Times New Roman"/>
                <w:sz w:val="22"/>
                <w:szCs w:val="22"/>
                <w:lang w:val="en-US"/>
              </w:rPr>
              <w:t>Health Education as a Catalyst for Community Engagement</w:t>
            </w:r>
          </w:p>
        </w:tc>
        <w:tc>
          <w:tcPr>
            <w:tcW w:w="2410" w:type="dxa"/>
          </w:tcPr>
          <w:p w14:paraId="68A67D7F" w14:textId="77777777" w:rsidR="00A00CC3" w:rsidRPr="00B347F9" w:rsidRDefault="00A00CC3" w:rsidP="00A72ECB">
            <w:pPr>
              <w:spacing w:line="360" w:lineRule="auto"/>
              <w:ind w:right="283"/>
              <w:jc w:val="both"/>
              <w:rPr>
                <w:rFonts w:ascii="Times" w:hAnsi="Times" w:cs="Times New Roman"/>
                <w:sz w:val="22"/>
                <w:szCs w:val="22"/>
                <w:lang w:val="en-US"/>
              </w:rPr>
            </w:pPr>
            <w:r w:rsidRPr="00B347F9">
              <w:rPr>
                <w:rFonts w:ascii="Times" w:hAnsi="Times" w:cs="Times New Roman"/>
                <w:sz w:val="22"/>
                <w:szCs w:val="22"/>
                <w:lang w:val="en-US"/>
              </w:rPr>
              <w:t>Family and community participation in health promotion</w:t>
            </w:r>
          </w:p>
        </w:tc>
        <w:tc>
          <w:tcPr>
            <w:tcW w:w="4053" w:type="dxa"/>
          </w:tcPr>
          <w:p w14:paraId="56295072" w14:textId="77777777" w:rsidR="00A00CC3" w:rsidRPr="00B347F9" w:rsidRDefault="00A00CC3" w:rsidP="00A72ECB">
            <w:pPr>
              <w:spacing w:line="360" w:lineRule="auto"/>
              <w:ind w:right="283"/>
              <w:jc w:val="both"/>
              <w:rPr>
                <w:rFonts w:ascii="Times" w:hAnsi="Times" w:cs="Times New Roman"/>
                <w:sz w:val="22"/>
                <w:szCs w:val="22"/>
                <w:lang w:val="en-US"/>
              </w:rPr>
            </w:pPr>
            <w:r w:rsidRPr="00B347F9">
              <w:rPr>
                <w:rFonts w:ascii="Times" w:hAnsi="Times" w:cs="Times New Roman"/>
                <w:sz w:val="22"/>
                <w:szCs w:val="22"/>
                <w:lang w:val="en-US"/>
              </w:rPr>
              <w:t>Positive community participation, active public engagement, family-level engagement, community empowerment.</w:t>
            </w:r>
          </w:p>
        </w:tc>
      </w:tr>
      <w:tr w:rsidR="00A00CC3" w:rsidRPr="00B347F9" w14:paraId="09BB0AA0" w14:textId="77777777" w:rsidTr="00791CAB">
        <w:tc>
          <w:tcPr>
            <w:tcW w:w="2547" w:type="dxa"/>
          </w:tcPr>
          <w:p w14:paraId="3D352F2F" w14:textId="77777777" w:rsidR="00A00CC3" w:rsidRPr="00B347F9" w:rsidRDefault="00A00CC3" w:rsidP="00A72ECB">
            <w:pPr>
              <w:spacing w:line="360" w:lineRule="auto"/>
              <w:ind w:right="283"/>
              <w:jc w:val="both"/>
              <w:rPr>
                <w:rFonts w:ascii="Times" w:hAnsi="Times" w:cs="Times New Roman"/>
                <w:sz w:val="22"/>
                <w:szCs w:val="22"/>
                <w:lang w:val="en-US"/>
              </w:rPr>
            </w:pPr>
          </w:p>
        </w:tc>
        <w:tc>
          <w:tcPr>
            <w:tcW w:w="2410" w:type="dxa"/>
          </w:tcPr>
          <w:p w14:paraId="3C5FE149" w14:textId="77777777" w:rsidR="00A00CC3" w:rsidRPr="00B347F9" w:rsidRDefault="00A00CC3" w:rsidP="00A72ECB">
            <w:pPr>
              <w:spacing w:line="360" w:lineRule="auto"/>
              <w:ind w:right="283"/>
              <w:jc w:val="both"/>
              <w:rPr>
                <w:rFonts w:ascii="Times" w:hAnsi="Times" w:cs="Times New Roman"/>
                <w:sz w:val="22"/>
                <w:szCs w:val="22"/>
                <w:lang w:val="en-US"/>
              </w:rPr>
            </w:pPr>
            <w:r w:rsidRPr="00B347F9">
              <w:rPr>
                <w:rFonts w:ascii="Times" w:hAnsi="Times" w:cs="Times New Roman"/>
                <w:sz w:val="22"/>
                <w:szCs w:val="22"/>
                <w:lang w:val="en-US"/>
              </w:rPr>
              <w:t>Building trust and social connectedness through health education</w:t>
            </w:r>
          </w:p>
        </w:tc>
        <w:tc>
          <w:tcPr>
            <w:tcW w:w="4053" w:type="dxa"/>
          </w:tcPr>
          <w:p w14:paraId="455284BC" w14:textId="77777777" w:rsidR="00A00CC3" w:rsidRPr="00B347F9" w:rsidRDefault="00A00CC3" w:rsidP="00A72ECB">
            <w:pPr>
              <w:spacing w:line="360" w:lineRule="auto"/>
              <w:ind w:right="283"/>
              <w:jc w:val="both"/>
              <w:rPr>
                <w:rFonts w:ascii="Times" w:hAnsi="Times" w:cs="Times New Roman"/>
                <w:sz w:val="22"/>
                <w:szCs w:val="22"/>
                <w:lang w:val="en-US"/>
              </w:rPr>
            </w:pPr>
            <w:r w:rsidRPr="00B347F9">
              <w:rPr>
                <w:rFonts w:ascii="Times" w:hAnsi="Times" w:cs="Times New Roman"/>
                <w:sz w:val="22"/>
                <w:szCs w:val="22"/>
                <w:lang w:val="en-US"/>
              </w:rPr>
              <w:t>Rapport building, Community engagement, Community need assessment, community outreach adaptation</w:t>
            </w:r>
          </w:p>
        </w:tc>
      </w:tr>
      <w:tr w:rsidR="00A00CC3" w:rsidRPr="00B347F9" w14:paraId="07701A5D" w14:textId="77777777" w:rsidTr="00791CAB">
        <w:tc>
          <w:tcPr>
            <w:tcW w:w="2547" w:type="dxa"/>
          </w:tcPr>
          <w:p w14:paraId="679345EF" w14:textId="77777777" w:rsidR="00A00CC3" w:rsidRPr="00B347F9" w:rsidRDefault="00A00CC3" w:rsidP="00A72ECB">
            <w:pPr>
              <w:spacing w:line="360" w:lineRule="auto"/>
              <w:ind w:right="283"/>
              <w:jc w:val="both"/>
              <w:rPr>
                <w:rFonts w:ascii="Times" w:hAnsi="Times" w:cs="Times New Roman"/>
                <w:sz w:val="22"/>
                <w:szCs w:val="22"/>
              </w:rPr>
            </w:pPr>
            <w:r w:rsidRPr="00B347F9">
              <w:rPr>
                <w:rFonts w:ascii="Times" w:hAnsi="Times" w:cs="Times New Roman"/>
                <w:sz w:val="22"/>
                <w:szCs w:val="22"/>
              </w:rPr>
              <w:t>Impact of Health Education on Health Outcomes</w:t>
            </w:r>
          </w:p>
          <w:p w14:paraId="17EEC94E" w14:textId="77777777" w:rsidR="00A00CC3" w:rsidRPr="00B347F9" w:rsidRDefault="00A00CC3" w:rsidP="00A72ECB">
            <w:pPr>
              <w:spacing w:line="360" w:lineRule="auto"/>
              <w:ind w:right="283"/>
              <w:jc w:val="both"/>
              <w:rPr>
                <w:rFonts w:ascii="Times" w:hAnsi="Times" w:cs="Times New Roman"/>
                <w:sz w:val="22"/>
                <w:szCs w:val="22"/>
                <w:lang w:val="en-US"/>
              </w:rPr>
            </w:pPr>
          </w:p>
        </w:tc>
        <w:tc>
          <w:tcPr>
            <w:tcW w:w="2410" w:type="dxa"/>
          </w:tcPr>
          <w:p w14:paraId="3EAD62E5" w14:textId="77777777" w:rsidR="00A00CC3" w:rsidRPr="00B347F9" w:rsidRDefault="00A00CC3" w:rsidP="00A72ECB">
            <w:pPr>
              <w:spacing w:line="360" w:lineRule="auto"/>
              <w:ind w:right="283"/>
              <w:jc w:val="both"/>
              <w:rPr>
                <w:rFonts w:ascii="Times" w:hAnsi="Times" w:cs="Times New Roman"/>
                <w:sz w:val="22"/>
                <w:szCs w:val="22"/>
              </w:rPr>
            </w:pPr>
            <w:r w:rsidRPr="00B347F9">
              <w:rPr>
                <w:rFonts w:ascii="Times" w:hAnsi="Times" w:cs="Times New Roman"/>
                <w:sz w:val="22"/>
                <w:szCs w:val="22"/>
              </w:rPr>
              <w:t>Promotion of healthy behaviour and preventive practices</w:t>
            </w:r>
          </w:p>
          <w:p w14:paraId="1CB7AF74" w14:textId="77777777" w:rsidR="00A00CC3" w:rsidRPr="00B347F9" w:rsidRDefault="00A00CC3" w:rsidP="00A72ECB">
            <w:pPr>
              <w:spacing w:line="360" w:lineRule="auto"/>
              <w:ind w:right="283"/>
              <w:jc w:val="both"/>
              <w:rPr>
                <w:rFonts w:ascii="Times" w:hAnsi="Times" w:cs="Times New Roman"/>
                <w:sz w:val="22"/>
                <w:szCs w:val="22"/>
                <w:lang w:val="en-US"/>
              </w:rPr>
            </w:pPr>
          </w:p>
        </w:tc>
        <w:tc>
          <w:tcPr>
            <w:tcW w:w="4053" w:type="dxa"/>
          </w:tcPr>
          <w:p w14:paraId="4DD2BAD3" w14:textId="77777777" w:rsidR="00A00CC3" w:rsidRPr="00B347F9" w:rsidRDefault="00A00CC3" w:rsidP="00A72ECB">
            <w:pPr>
              <w:spacing w:line="360" w:lineRule="auto"/>
              <w:ind w:right="283"/>
              <w:jc w:val="both"/>
              <w:rPr>
                <w:rFonts w:ascii="Times" w:hAnsi="Times" w:cs="Times New Roman"/>
                <w:sz w:val="22"/>
                <w:szCs w:val="22"/>
              </w:rPr>
            </w:pPr>
            <w:r w:rsidRPr="00B347F9">
              <w:rPr>
                <w:rFonts w:ascii="Times" w:hAnsi="Times" w:cs="Times New Roman"/>
                <w:sz w:val="22"/>
                <w:szCs w:val="22"/>
              </w:rPr>
              <w:t>Healthy lifestyle promotion, Preventive health practices, Improved health-seeking behaviour, Long-term health improvement, Cultural sensitivity in healthcare</w:t>
            </w:r>
          </w:p>
          <w:p w14:paraId="285607A5" w14:textId="77777777" w:rsidR="00A00CC3" w:rsidRPr="00B347F9" w:rsidRDefault="00A00CC3" w:rsidP="00A72ECB">
            <w:pPr>
              <w:spacing w:line="360" w:lineRule="auto"/>
              <w:ind w:right="283"/>
              <w:jc w:val="both"/>
              <w:rPr>
                <w:rFonts w:ascii="Times" w:hAnsi="Times" w:cs="Times New Roman"/>
                <w:sz w:val="22"/>
                <w:szCs w:val="22"/>
                <w:lang w:val="en-US"/>
              </w:rPr>
            </w:pPr>
          </w:p>
        </w:tc>
      </w:tr>
      <w:tr w:rsidR="00A00CC3" w:rsidRPr="00B347F9" w14:paraId="0580E113" w14:textId="77777777" w:rsidTr="00791CAB">
        <w:tc>
          <w:tcPr>
            <w:tcW w:w="2547" w:type="dxa"/>
          </w:tcPr>
          <w:p w14:paraId="72B017F5" w14:textId="77777777" w:rsidR="00A00CC3" w:rsidRPr="00B347F9" w:rsidRDefault="00A00CC3" w:rsidP="00A72ECB">
            <w:pPr>
              <w:spacing w:line="360" w:lineRule="auto"/>
              <w:ind w:right="283"/>
              <w:jc w:val="both"/>
              <w:rPr>
                <w:rFonts w:ascii="Times" w:hAnsi="Times" w:cs="Times New Roman"/>
                <w:sz w:val="22"/>
                <w:szCs w:val="22"/>
              </w:rPr>
            </w:pPr>
          </w:p>
        </w:tc>
        <w:tc>
          <w:tcPr>
            <w:tcW w:w="2410" w:type="dxa"/>
          </w:tcPr>
          <w:p w14:paraId="6893F85B" w14:textId="77777777" w:rsidR="00A00CC3" w:rsidRPr="00B347F9" w:rsidRDefault="00A00CC3" w:rsidP="00A72ECB">
            <w:pPr>
              <w:spacing w:line="360" w:lineRule="auto"/>
              <w:ind w:right="283"/>
              <w:jc w:val="both"/>
              <w:rPr>
                <w:rFonts w:ascii="Times" w:hAnsi="Times" w:cs="Times New Roman"/>
                <w:sz w:val="22"/>
                <w:szCs w:val="22"/>
              </w:rPr>
            </w:pPr>
            <w:r w:rsidRPr="00B347F9">
              <w:rPr>
                <w:rFonts w:ascii="Times" w:hAnsi="Times" w:cs="Times New Roman"/>
                <w:sz w:val="22"/>
                <w:szCs w:val="22"/>
              </w:rPr>
              <w:t xml:space="preserve">Improving medication adherence </w:t>
            </w:r>
            <w:r w:rsidRPr="00B347F9">
              <w:rPr>
                <w:rFonts w:ascii="Times" w:hAnsi="Times" w:cs="Times New Roman"/>
                <w:sz w:val="22"/>
                <w:szCs w:val="22"/>
              </w:rPr>
              <w:lastRenderedPageBreak/>
              <w:t>and treatment compliance</w:t>
            </w:r>
          </w:p>
          <w:p w14:paraId="0FAB99B2" w14:textId="77777777" w:rsidR="00A00CC3" w:rsidRPr="00B347F9" w:rsidRDefault="00A00CC3" w:rsidP="00A72ECB">
            <w:pPr>
              <w:spacing w:line="360" w:lineRule="auto"/>
              <w:ind w:right="283"/>
              <w:jc w:val="both"/>
              <w:rPr>
                <w:rFonts w:ascii="Times" w:hAnsi="Times" w:cs="Times New Roman"/>
                <w:sz w:val="22"/>
                <w:szCs w:val="22"/>
              </w:rPr>
            </w:pPr>
          </w:p>
        </w:tc>
        <w:tc>
          <w:tcPr>
            <w:tcW w:w="4053" w:type="dxa"/>
          </w:tcPr>
          <w:p w14:paraId="453404F3" w14:textId="77777777" w:rsidR="00A00CC3" w:rsidRPr="00B347F9" w:rsidRDefault="00A00CC3" w:rsidP="00A72ECB">
            <w:pPr>
              <w:spacing w:line="360" w:lineRule="auto"/>
              <w:ind w:right="283"/>
              <w:jc w:val="both"/>
              <w:rPr>
                <w:rFonts w:ascii="Times" w:hAnsi="Times" w:cs="Times New Roman"/>
                <w:sz w:val="22"/>
                <w:szCs w:val="22"/>
              </w:rPr>
            </w:pPr>
            <w:r w:rsidRPr="00B347F9">
              <w:rPr>
                <w:rFonts w:ascii="Times" w:hAnsi="Times" w:cs="Times New Roman"/>
                <w:sz w:val="22"/>
                <w:szCs w:val="22"/>
              </w:rPr>
              <w:lastRenderedPageBreak/>
              <w:t xml:space="preserve">Medication adherence awareness, Rational drug-use education, Treatment compliance, Prevention of treatment </w:t>
            </w:r>
            <w:r w:rsidRPr="00B347F9">
              <w:rPr>
                <w:rFonts w:ascii="Times" w:hAnsi="Times" w:cs="Times New Roman"/>
                <w:sz w:val="22"/>
                <w:szCs w:val="22"/>
              </w:rPr>
              <w:lastRenderedPageBreak/>
              <w:t>default, Access to healthcare information</w:t>
            </w:r>
          </w:p>
          <w:p w14:paraId="77AEBC76" w14:textId="77777777" w:rsidR="00A00CC3" w:rsidRPr="00B347F9" w:rsidRDefault="00A00CC3" w:rsidP="00A72ECB">
            <w:pPr>
              <w:spacing w:line="360" w:lineRule="auto"/>
              <w:ind w:right="283"/>
              <w:jc w:val="both"/>
              <w:rPr>
                <w:rFonts w:ascii="Times" w:hAnsi="Times" w:cs="Times New Roman"/>
                <w:sz w:val="22"/>
                <w:szCs w:val="22"/>
                <w:lang w:val="en-US"/>
              </w:rPr>
            </w:pPr>
          </w:p>
        </w:tc>
      </w:tr>
    </w:tbl>
    <w:p w14:paraId="06C80FE1" w14:textId="04404920" w:rsidR="00A00CC3" w:rsidRPr="00B347F9" w:rsidRDefault="00A00CC3" w:rsidP="00A72ECB">
      <w:pPr>
        <w:spacing w:line="360" w:lineRule="auto"/>
        <w:ind w:right="283"/>
        <w:jc w:val="both"/>
        <w:rPr>
          <w:rFonts w:ascii="Times" w:hAnsi="Times"/>
          <w:sz w:val="22"/>
          <w:szCs w:val="22"/>
        </w:rPr>
      </w:pPr>
    </w:p>
    <w:p w14:paraId="596A8056" w14:textId="1C53C94A" w:rsidR="003F1F63" w:rsidRDefault="003F1F63" w:rsidP="003F1F63">
      <w:pPr>
        <w:spacing w:line="360" w:lineRule="auto"/>
        <w:ind w:right="283"/>
        <w:jc w:val="both"/>
        <w:rPr>
          <w:rFonts w:ascii="Times" w:hAnsi="Times" w:cs="Times New Roman"/>
          <w:bCs/>
          <w:iCs/>
          <w:sz w:val="22"/>
          <w:szCs w:val="22"/>
        </w:rPr>
      </w:pPr>
      <w:r w:rsidRPr="003F1F63">
        <w:rPr>
          <w:rFonts w:ascii="Times" w:hAnsi="Times" w:cs="Times New Roman"/>
          <w:bCs/>
          <w:iCs/>
          <w:sz w:val="22"/>
          <w:szCs w:val="22"/>
        </w:rPr>
        <w:t>The thematic analysis revealed that undergraduate medical students perceived health education as an important public health intervention for disease prevention, awareness generation, and community empowerment. Participants emphasized that health education improves health literacy and promotes preventive healthcare practices within communities. Students highlighted the importance of innovative and participatory approaches such as role-plays, skits, demonstrations, and culturally sensitive local-language communication to improve community engagement and understanding.</w:t>
      </w:r>
    </w:p>
    <w:p w14:paraId="555DCAA3" w14:textId="77777777" w:rsidR="00443053" w:rsidRPr="003F1F63" w:rsidRDefault="00443053" w:rsidP="003F1F63">
      <w:pPr>
        <w:spacing w:line="360" w:lineRule="auto"/>
        <w:ind w:right="283"/>
        <w:jc w:val="both"/>
        <w:rPr>
          <w:rFonts w:ascii="Times" w:hAnsi="Times" w:cs="Times New Roman"/>
          <w:bCs/>
          <w:iCs/>
          <w:sz w:val="22"/>
          <w:szCs w:val="22"/>
        </w:rPr>
      </w:pPr>
    </w:p>
    <w:p w14:paraId="65CA43BF" w14:textId="77777777" w:rsidR="003F1F63" w:rsidRPr="003F1F63" w:rsidRDefault="003F1F63" w:rsidP="003F1F63">
      <w:pPr>
        <w:spacing w:line="360" w:lineRule="auto"/>
        <w:ind w:right="283"/>
        <w:jc w:val="both"/>
        <w:rPr>
          <w:rFonts w:ascii="Times" w:hAnsi="Times" w:cs="Times New Roman"/>
          <w:bCs/>
          <w:iCs/>
          <w:sz w:val="22"/>
          <w:szCs w:val="22"/>
        </w:rPr>
      </w:pPr>
      <w:r w:rsidRPr="003F1F63">
        <w:rPr>
          <w:rFonts w:ascii="Times" w:hAnsi="Times" w:cs="Times New Roman"/>
          <w:bCs/>
          <w:iCs/>
          <w:sz w:val="22"/>
          <w:szCs w:val="22"/>
        </w:rPr>
        <w:t>The findings also demonstrated that health education strengthened community participation, family involvement, trust-building, and social connectedness between healthcare providers and the community. Furthermore, students believed that effective health education could positively influence healthy behaviours, preventive practices, medication adherence, and treatment compliance, thereby contributing to long-term improvement in community health outcomes.</w:t>
      </w:r>
    </w:p>
    <w:p w14:paraId="01760A46" w14:textId="77777777" w:rsidR="00496582" w:rsidRPr="0003311E" w:rsidRDefault="00496582" w:rsidP="00A72ECB">
      <w:pPr>
        <w:spacing w:line="360" w:lineRule="auto"/>
        <w:ind w:right="283"/>
        <w:jc w:val="both"/>
        <w:rPr>
          <w:rFonts w:ascii="Times" w:hAnsi="Times" w:cs="Times New Roman"/>
          <w:bCs/>
          <w:iCs/>
          <w:sz w:val="22"/>
          <w:szCs w:val="22"/>
          <w:lang w:val="en-US"/>
        </w:rPr>
      </w:pPr>
    </w:p>
    <w:p w14:paraId="24B2011F" w14:textId="77777777" w:rsidR="00496582" w:rsidRPr="00B347F9" w:rsidRDefault="00496582" w:rsidP="00A72ECB">
      <w:pPr>
        <w:spacing w:line="360" w:lineRule="auto"/>
        <w:ind w:right="283"/>
        <w:jc w:val="both"/>
        <w:rPr>
          <w:rFonts w:ascii="Times" w:hAnsi="Times" w:cs="Times New Roman"/>
          <w:bCs/>
          <w:i/>
          <w:iCs/>
          <w:sz w:val="22"/>
          <w:szCs w:val="22"/>
          <w:lang w:val="en-US"/>
        </w:rPr>
      </w:pPr>
    </w:p>
    <w:p w14:paraId="4CC3C9B2" w14:textId="1E4213D1" w:rsidR="00496582" w:rsidRPr="00B347F9" w:rsidRDefault="00496582" w:rsidP="00A72ECB">
      <w:pPr>
        <w:spacing w:line="360" w:lineRule="auto"/>
        <w:ind w:right="283"/>
        <w:jc w:val="both"/>
        <w:rPr>
          <w:rFonts w:ascii="Times" w:hAnsi="Times" w:cs="Times New Roman"/>
          <w:bCs/>
          <w:i/>
          <w:iCs/>
          <w:sz w:val="22"/>
          <w:szCs w:val="22"/>
          <w:lang w:val="en-US"/>
        </w:rPr>
      </w:pPr>
      <w:r w:rsidRPr="00B347F9">
        <w:rPr>
          <w:rFonts w:ascii="Times" w:hAnsi="Times" w:cs="Times New Roman"/>
          <w:bCs/>
          <w:i/>
          <w:iCs/>
          <w:sz w:val="22"/>
          <w:szCs w:val="22"/>
          <w:lang w:val="en-US"/>
        </w:rPr>
        <w:t xml:space="preserve">Table </w:t>
      </w:r>
      <w:r w:rsidR="00B347F9" w:rsidRPr="00B347F9">
        <w:rPr>
          <w:rFonts w:ascii="Times" w:hAnsi="Times" w:cs="Times New Roman"/>
          <w:bCs/>
          <w:i/>
          <w:iCs/>
          <w:sz w:val="22"/>
          <w:szCs w:val="22"/>
          <w:lang w:val="en-US"/>
        </w:rPr>
        <w:t>2</w:t>
      </w:r>
      <w:r w:rsidRPr="00B347F9">
        <w:rPr>
          <w:rFonts w:ascii="Times" w:hAnsi="Times" w:cs="Times New Roman"/>
          <w:bCs/>
          <w:i/>
          <w:iCs/>
          <w:sz w:val="22"/>
          <w:szCs w:val="22"/>
          <w:lang w:val="en-US"/>
        </w:rPr>
        <w:t>: Thematic analysis of undergraduates' insight on the role and responsibility of different stakeholders in conducting a health education session(N=15)</w:t>
      </w:r>
    </w:p>
    <w:tbl>
      <w:tblPr>
        <w:tblStyle w:val="TableGrid"/>
        <w:tblW w:w="0" w:type="auto"/>
        <w:tblLook w:val="04A0" w:firstRow="1" w:lastRow="0" w:firstColumn="1" w:lastColumn="0" w:noHBand="0" w:noVBand="1"/>
      </w:tblPr>
      <w:tblGrid>
        <w:gridCol w:w="2482"/>
        <w:gridCol w:w="2757"/>
        <w:gridCol w:w="3965"/>
      </w:tblGrid>
      <w:tr w:rsidR="00496582" w:rsidRPr="00B347F9" w14:paraId="762E019A" w14:textId="77777777" w:rsidTr="00791CAB">
        <w:tc>
          <w:tcPr>
            <w:tcW w:w="0" w:type="auto"/>
            <w:hideMark/>
          </w:tcPr>
          <w:p w14:paraId="1B6411D4" w14:textId="77777777" w:rsidR="00496582" w:rsidRPr="00B347F9" w:rsidRDefault="00496582" w:rsidP="00A72ECB">
            <w:pPr>
              <w:spacing w:line="360" w:lineRule="auto"/>
              <w:ind w:right="283"/>
              <w:jc w:val="both"/>
              <w:rPr>
                <w:rFonts w:ascii="Times" w:hAnsi="Times" w:cs="Times New Roman"/>
                <w:b/>
                <w:bCs/>
                <w:sz w:val="22"/>
                <w:szCs w:val="22"/>
              </w:rPr>
            </w:pPr>
            <w:r w:rsidRPr="00B347F9">
              <w:rPr>
                <w:rFonts w:ascii="Times" w:hAnsi="Times" w:cs="Times New Roman"/>
                <w:b/>
                <w:bCs/>
                <w:sz w:val="22"/>
                <w:szCs w:val="22"/>
              </w:rPr>
              <w:t>Theme</w:t>
            </w:r>
          </w:p>
        </w:tc>
        <w:tc>
          <w:tcPr>
            <w:tcW w:w="0" w:type="auto"/>
            <w:hideMark/>
          </w:tcPr>
          <w:p w14:paraId="690CAFE7" w14:textId="77777777" w:rsidR="00496582" w:rsidRPr="00B347F9" w:rsidRDefault="00496582" w:rsidP="00A72ECB">
            <w:pPr>
              <w:spacing w:line="360" w:lineRule="auto"/>
              <w:ind w:right="283"/>
              <w:jc w:val="both"/>
              <w:rPr>
                <w:rFonts w:ascii="Times" w:hAnsi="Times" w:cs="Times New Roman"/>
                <w:b/>
                <w:bCs/>
                <w:sz w:val="22"/>
                <w:szCs w:val="22"/>
              </w:rPr>
            </w:pPr>
            <w:r w:rsidRPr="00B347F9">
              <w:rPr>
                <w:rFonts w:ascii="Times" w:hAnsi="Times" w:cs="Times New Roman"/>
                <w:b/>
                <w:bCs/>
                <w:sz w:val="22"/>
                <w:szCs w:val="22"/>
              </w:rPr>
              <w:t>Sub-theme</w:t>
            </w:r>
          </w:p>
        </w:tc>
        <w:tc>
          <w:tcPr>
            <w:tcW w:w="0" w:type="auto"/>
            <w:hideMark/>
          </w:tcPr>
          <w:p w14:paraId="26C53279" w14:textId="62F00CFB" w:rsidR="00496582" w:rsidRPr="00B347F9" w:rsidRDefault="00496582" w:rsidP="00A72ECB">
            <w:pPr>
              <w:spacing w:line="360" w:lineRule="auto"/>
              <w:ind w:right="283"/>
              <w:jc w:val="both"/>
              <w:rPr>
                <w:rFonts w:ascii="Times" w:hAnsi="Times" w:cs="Times New Roman"/>
                <w:b/>
                <w:bCs/>
                <w:sz w:val="22"/>
                <w:szCs w:val="22"/>
              </w:rPr>
            </w:pPr>
            <w:r w:rsidRPr="00B347F9">
              <w:rPr>
                <w:rFonts w:ascii="Times" w:hAnsi="Times" w:cs="Times New Roman"/>
                <w:b/>
                <w:bCs/>
                <w:sz w:val="22"/>
                <w:szCs w:val="22"/>
              </w:rPr>
              <w:t>Codes</w:t>
            </w:r>
          </w:p>
        </w:tc>
      </w:tr>
      <w:tr w:rsidR="00496582" w:rsidRPr="00B347F9" w14:paraId="598650E9" w14:textId="77777777" w:rsidTr="00791CAB">
        <w:tc>
          <w:tcPr>
            <w:tcW w:w="0" w:type="auto"/>
            <w:hideMark/>
          </w:tcPr>
          <w:p w14:paraId="5E00733E" w14:textId="77777777" w:rsidR="00496582" w:rsidRPr="00B347F9" w:rsidRDefault="00496582" w:rsidP="00A72ECB">
            <w:pPr>
              <w:spacing w:line="360" w:lineRule="auto"/>
              <w:ind w:right="283"/>
              <w:jc w:val="both"/>
              <w:rPr>
                <w:rFonts w:ascii="Times" w:hAnsi="Times" w:cs="Times New Roman"/>
                <w:sz w:val="22"/>
                <w:szCs w:val="22"/>
              </w:rPr>
            </w:pPr>
            <w:r w:rsidRPr="00B347F9">
              <w:rPr>
                <w:rFonts w:ascii="Times" w:hAnsi="Times" w:cs="Times New Roman"/>
                <w:b/>
                <w:bCs/>
                <w:sz w:val="22"/>
                <w:szCs w:val="22"/>
              </w:rPr>
              <w:t>Role of Medical Students in Community Health Promotion</w:t>
            </w:r>
          </w:p>
        </w:tc>
        <w:tc>
          <w:tcPr>
            <w:tcW w:w="0" w:type="auto"/>
            <w:hideMark/>
          </w:tcPr>
          <w:p w14:paraId="52520CEE" w14:textId="77777777" w:rsidR="00496582" w:rsidRPr="00B347F9" w:rsidRDefault="00496582" w:rsidP="00A72ECB">
            <w:pPr>
              <w:spacing w:line="360" w:lineRule="auto"/>
              <w:ind w:right="283"/>
              <w:jc w:val="both"/>
              <w:rPr>
                <w:rFonts w:ascii="Times" w:hAnsi="Times" w:cs="Times New Roman"/>
                <w:sz w:val="22"/>
                <w:szCs w:val="22"/>
              </w:rPr>
            </w:pPr>
            <w:r w:rsidRPr="00B347F9">
              <w:rPr>
                <w:rFonts w:ascii="Times" w:hAnsi="Times" w:cs="Times New Roman"/>
                <w:sz w:val="22"/>
                <w:szCs w:val="22"/>
              </w:rPr>
              <w:t>Student participation in community awareness activities</w:t>
            </w:r>
          </w:p>
        </w:tc>
        <w:tc>
          <w:tcPr>
            <w:tcW w:w="0" w:type="auto"/>
            <w:hideMark/>
          </w:tcPr>
          <w:p w14:paraId="30C6E685" w14:textId="77777777" w:rsidR="00496582" w:rsidRPr="00B347F9" w:rsidRDefault="00496582" w:rsidP="00A72ECB">
            <w:pPr>
              <w:spacing w:line="360" w:lineRule="auto"/>
              <w:ind w:right="283"/>
              <w:jc w:val="both"/>
              <w:rPr>
                <w:rFonts w:ascii="Times" w:hAnsi="Times" w:cs="Times New Roman"/>
                <w:sz w:val="22"/>
                <w:szCs w:val="22"/>
              </w:rPr>
            </w:pPr>
            <w:r w:rsidRPr="00B347F9">
              <w:rPr>
                <w:rFonts w:ascii="Times" w:hAnsi="Times" w:cs="Times New Roman"/>
                <w:sz w:val="22"/>
                <w:szCs w:val="22"/>
              </w:rPr>
              <w:t>Student-led awareness campaigns, Peer-to-community education, Health promotion participation, Community outreach involvement</w:t>
            </w:r>
          </w:p>
        </w:tc>
      </w:tr>
      <w:tr w:rsidR="00496582" w:rsidRPr="00B347F9" w14:paraId="0CAFD987" w14:textId="77777777" w:rsidTr="00791CAB">
        <w:tc>
          <w:tcPr>
            <w:tcW w:w="0" w:type="auto"/>
            <w:hideMark/>
          </w:tcPr>
          <w:p w14:paraId="10DAD742" w14:textId="77777777" w:rsidR="00496582" w:rsidRPr="00B347F9" w:rsidRDefault="00496582" w:rsidP="00A72ECB">
            <w:pPr>
              <w:spacing w:line="360" w:lineRule="auto"/>
              <w:ind w:right="283"/>
              <w:jc w:val="both"/>
              <w:rPr>
                <w:rFonts w:ascii="Times" w:hAnsi="Times" w:cs="Times New Roman"/>
                <w:sz w:val="22"/>
                <w:szCs w:val="22"/>
              </w:rPr>
            </w:pPr>
          </w:p>
        </w:tc>
        <w:tc>
          <w:tcPr>
            <w:tcW w:w="0" w:type="auto"/>
            <w:hideMark/>
          </w:tcPr>
          <w:p w14:paraId="3680C5EF" w14:textId="77777777" w:rsidR="00496582" w:rsidRPr="00B347F9" w:rsidRDefault="00496582" w:rsidP="00A72ECB">
            <w:pPr>
              <w:spacing w:line="360" w:lineRule="auto"/>
              <w:ind w:right="283"/>
              <w:jc w:val="both"/>
              <w:rPr>
                <w:rFonts w:ascii="Times" w:hAnsi="Times" w:cs="Times New Roman"/>
                <w:sz w:val="22"/>
                <w:szCs w:val="22"/>
              </w:rPr>
            </w:pPr>
            <w:r w:rsidRPr="00B347F9">
              <w:rPr>
                <w:rFonts w:ascii="Times" w:hAnsi="Times" w:cs="Times New Roman"/>
                <w:sz w:val="22"/>
                <w:szCs w:val="22"/>
              </w:rPr>
              <w:t>Empathy-driven community interaction and mobilization</w:t>
            </w:r>
          </w:p>
        </w:tc>
        <w:tc>
          <w:tcPr>
            <w:tcW w:w="0" w:type="auto"/>
            <w:hideMark/>
          </w:tcPr>
          <w:p w14:paraId="05363C31" w14:textId="77777777" w:rsidR="00496582" w:rsidRPr="00B347F9" w:rsidRDefault="00496582" w:rsidP="00A72ECB">
            <w:pPr>
              <w:spacing w:line="360" w:lineRule="auto"/>
              <w:ind w:right="283"/>
              <w:jc w:val="both"/>
              <w:rPr>
                <w:rFonts w:ascii="Times" w:hAnsi="Times" w:cs="Times New Roman"/>
                <w:sz w:val="22"/>
                <w:szCs w:val="22"/>
              </w:rPr>
            </w:pPr>
            <w:r w:rsidRPr="00B347F9">
              <w:rPr>
                <w:rFonts w:ascii="Times" w:hAnsi="Times" w:cs="Times New Roman"/>
                <w:sz w:val="22"/>
                <w:szCs w:val="22"/>
              </w:rPr>
              <w:t>Empathetic communication, Community rapport, Public engagement, Community mobilization, Social responsibility</w:t>
            </w:r>
          </w:p>
        </w:tc>
      </w:tr>
      <w:tr w:rsidR="00496582" w:rsidRPr="00B347F9" w14:paraId="36B9DDBC" w14:textId="77777777" w:rsidTr="00791CAB">
        <w:tc>
          <w:tcPr>
            <w:tcW w:w="0" w:type="auto"/>
            <w:hideMark/>
          </w:tcPr>
          <w:p w14:paraId="5138CC96" w14:textId="77777777" w:rsidR="00496582" w:rsidRPr="00B347F9" w:rsidRDefault="00496582" w:rsidP="00A72ECB">
            <w:pPr>
              <w:spacing w:line="360" w:lineRule="auto"/>
              <w:ind w:right="283"/>
              <w:jc w:val="both"/>
              <w:rPr>
                <w:rFonts w:ascii="Times" w:hAnsi="Times" w:cs="Times New Roman"/>
                <w:sz w:val="22"/>
                <w:szCs w:val="22"/>
              </w:rPr>
            </w:pPr>
            <w:r w:rsidRPr="00B347F9">
              <w:rPr>
                <w:rFonts w:ascii="Times" w:hAnsi="Times" w:cs="Times New Roman"/>
                <w:b/>
                <w:bCs/>
                <w:sz w:val="22"/>
                <w:szCs w:val="22"/>
              </w:rPr>
              <w:t>Institutional Support for Health Education</w:t>
            </w:r>
          </w:p>
        </w:tc>
        <w:tc>
          <w:tcPr>
            <w:tcW w:w="0" w:type="auto"/>
            <w:hideMark/>
          </w:tcPr>
          <w:p w14:paraId="0B0D6758" w14:textId="77777777" w:rsidR="00496582" w:rsidRPr="00B347F9" w:rsidRDefault="00496582" w:rsidP="00A72ECB">
            <w:pPr>
              <w:spacing w:line="360" w:lineRule="auto"/>
              <w:ind w:right="283"/>
              <w:jc w:val="both"/>
              <w:rPr>
                <w:rFonts w:ascii="Times" w:hAnsi="Times" w:cs="Times New Roman"/>
                <w:sz w:val="22"/>
                <w:szCs w:val="22"/>
              </w:rPr>
            </w:pPr>
            <w:r w:rsidRPr="00B347F9">
              <w:rPr>
                <w:rFonts w:ascii="Times" w:hAnsi="Times" w:cs="Times New Roman"/>
                <w:sz w:val="22"/>
                <w:szCs w:val="22"/>
              </w:rPr>
              <w:t>Faculty mentorship and professional guidance</w:t>
            </w:r>
          </w:p>
        </w:tc>
        <w:tc>
          <w:tcPr>
            <w:tcW w:w="0" w:type="auto"/>
            <w:hideMark/>
          </w:tcPr>
          <w:p w14:paraId="1C424E13" w14:textId="77777777" w:rsidR="00496582" w:rsidRPr="00B347F9" w:rsidRDefault="00496582" w:rsidP="00A72ECB">
            <w:pPr>
              <w:spacing w:line="360" w:lineRule="auto"/>
              <w:ind w:right="283"/>
              <w:jc w:val="both"/>
              <w:rPr>
                <w:rFonts w:ascii="Times" w:hAnsi="Times" w:cs="Times New Roman"/>
                <w:sz w:val="22"/>
                <w:szCs w:val="22"/>
              </w:rPr>
            </w:pPr>
            <w:r w:rsidRPr="00B347F9">
              <w:rPr>
                <w:rFonts w:ascii="Times" w:hAnsi="Times" w:cs="Times New Roman"/>
                <w:sz w:val="22"/>
                <w:szCs w:val="22"/>
              </w:rPr>
              <w:t>Faculty supervision, Professional mentorship, Skill development support, Evidence-based guidance, Capacity building</w:t>
            </w:r>
          </w:p>
        </w:tc>
      </w:tr>
      <w:tr w:rsidR="00496582" w:rsidRPr="00B347F9" w14:paraId="11D6FE04" w14:textId="77777777" w:rsidTr="00791CAB">
        <w:tc>
          <w:tcPr>
            <w:tcW w:w="0" w:type="auto"/>
            <w:hideMark/>
          </w:tcPr>
          <w:p w14:paraId="137C3CEE" w14:textId="77777777" w:rsidR="00496582" w:rsidRPr="00B347F9" w:rsidRDefault="00496582" w:rsidP="00A72ECB">
            <w:pPr>
              <w:spacing w:line="360" w:lineRule="auto"/>
              <w:ind w:right="283"/>
              <w:jc w:val="both"/>
              <w:rPr>
                <w:rFonts w:ascii="Times" w:hAnsi="Times" w:cs="Times New Roman"/>
                <w:sz w:val="22"/>
                <w:szCs w:val="22"/>
              </w:rPr>
            </w:pPr>
          </w:p>
        </w:tc>
        <w:tc>
          <w:tcPr>
            <w:tcW w:w="0" w:type="auto"/>
            <w:hideMark/>
          </w:tcPr>
          <w:p w14:paraId="203A42D1" w14:textId="77777777" w:rsidR="00496582" w:rsidRPr="00B347F9" w:rsidRDefault="00496582" w:rsidP="00A72ECB">
            <w:pPr>
              <w:spacing w:line="360" w:lineRule="auto"/>
              <w:ind w:right="283"/>
              <w:jc w:val="both"/>
              <w:rPr>
                <w:rFonts w:ascii="Times" w:hAnsi="Times" w:cs="Times New Roman"/>
                <w:sz w:val="22"/>
                <w:szCs w:val="22"/>
              </w:rPr>
            </w:pPr>
            <w:r w:rsidRPr="00B347F9">
              <w:rPr>
                <w:rFonts w:ascii="Times" w:hAnsi="Times" w:cs="Times New Roman"/>
                <w:sz w:val="22"/>
                <w:szCs w:val="22"/>
              </w:rPr>
              <w:t>Institutional infrastructure and health promotion resources</w:t>
            </w:r>
          </w:p>
        </w:tc>
        <w:tc>
          <w:tcPr>
            <w:tcW w:w="0" w:type="auto"/>
            <w:hideMark/>
          </w:tcPr>
          <w:p w14:paraId="762202EC" w14:textId="77777777" w:rsidR="00496582" w:rsidRPr="00B347F9" w:rsidRDefault="00496582" w:rsidP="00A72ECB">
            <w:pPr>
              <w:spacing w:line="360" w:lineRule="auto"/>
              <w:ind w:right="283"/>
              <w:jc w:val="both"/>
              <w:rPr>
                <w:rFonts w:ascii="Times" w:hAnsi="Times" w:cs="Times New Roman"/>
                <w:sz w:val="22"/>
                <w:szCs w:val="22"/>
              </w:rPr>
            </w:pPr>
            <w:r w:rsidRPr="00B347F9">
              <w:rPr>
                <w:rFonts w:ascii="Times" w:hAnsi="Times" w:cs="Times New Roman"/>
                <w:sz w:val="22"/>
                <w:szCs w:val="22"/>
              </w:rPr>
              <w:t xml:space="preserve">IEC resource availability, Health promotion infrastructure, Peripheral </w:t>
            </w:r>
            <w:r w:rsidRPr="00B347F9">
              <w:rPr>
                <w:rFonts w:ascii="Times" w:hAnsi="Times" w:cs="Times New Roman"/>
                <w:sz w:val="22"/>
                <w:szCs w:val="22"/>
              </w:rPr>
              <w:lastRenderedPageBreak/>
              <w:t>outreach centres, Preventive healthcare support, Institutional commitment</w:t>
            </w:r>
          </w:p>
        </w:tc>
      </w:tr>
      <w:tr w:rsidR="00496582" w:rsidRPr="00B347F9" w14:paraId="3F79A42A" w14:textId="77777777" w:rsidTr="00791CAB">
        <w:tc>
          <w:tcPr>
            <w:tcW w:w="0" w:type="auto"/>
            <w:hideMark/>
          </w:tcPr>
          <w:p w14:paraId="7FDB90AD" w14:textId="77777777" w:rsidR="00496582" w:rsidRPr="00B347F9" w:rsidRDefault="00496582" w:rsidP="00A72ECB">
            <w:pPr>
              <w:spacing w:line="360" w:lineRule="auto"/>
              <w:ind w:right="283"/>
              <w:jc w:val="both"/>
              <w:rPr>
                <w:rFonts w:ascii="Times" w:hAnsi="Times" w:cs="Times New Roman"/>
                <w:sz w:val="22"/>
                <w:szCs w:val="22"/>
              </w:rPr>
            </w:pPr>
            <w:r w:rsidRPr="00B347F9">
              <w:rPr>
                <w:rFonts w:ascii="Times" w:hAnsi="Times" w:cs="Times New Roman"/>
                <w:b/>
                <w:bCs/>
                <w:sz w:val="22"/>
                <w:szCs w:val="22"/>
              </w:rPr>
              <w:lastRenderedPageBreak/>
              <w:t>Community Mobilization and Partnership Building</w:t>
            </w:r>
          </w:p>
        </w:tc>
        <w:tc>
          <w:tcPr>
            <w:tcW w:w="0" w:type="auto"/>
            <w:hideMark/>
          </w:tcPr>
          <w:p w14:paraId="254A4A04" w14:textId="77777777" w:rsidR="00496582" w:rsidRPr="00B347F9" w:rsidRDefault="00496582" w:rsidP="00A72ECB">
            <w:pPr>
              <w:spacing w:line="360" w:lineRule="auto"/>
              <w:ind w:right="283"/>
              <w:jc w:val="both"/>
              <w:rPr>
                <w:rFonts w:ascii="Times" w:hAnsi="Times" w:cs="Times New Roman"/>
                <w:sz w:val="22"/>
                <w:szCs w:val="22"/>
              </w:rPr>
            </w:pPr>
            <w:r w:rsidRPr="00B347F9">
              <w:rPr>
                <w:rFonts w:ascii="Times" w:hAnsi="Times" w:cs="Times New Roman"/>
                <w:sz w:val="22"/>
                <w:szCs w:val="22"/>
              </w:rPr>
              <w:t>Role of community mobilizers in enhancing participation</w:t>
            </w:r>
          </w:p>
        </w:tc>
        <w:tc>
          <w:tcPr>
            <w:tcW w:w="0" w:type="auto"/>
            <w:hideMark/>
          </w:tcPr>
          <w:p w14:paraId="2E063706" w14:textId="56CC8E8E" w:rsidR="00496582" w:rsidRPr="00B347F9" w:rsidRDefault="00496582" w:rsidP="00A72ECB">
            <w:pPr>
              <w:spacing w:line="360" w:lineRule="auto"/>
              <w:ind w:right="283"/>
              <w:jc w:val="both"/>
              <w:rPr>
                <w:rFonts w:ascii="Times" w:hAnsi="Times" w:cs="Times New Roman"/>
                <w:sz w:val="22"/>
                <w:szCs w:val="22"/>
              </w:rPr>
            </w:pPr>
            <w:r w:rsidRPr="00B347F9">
              <w:rPr>
                <w:rFonts w:ascii="Times" w:hAnsi="Times" w:cs="Times New Roman"/>
                <w:sz w:val="22"/>
                <w:szCs w:val="22"/>
              </w:rPr>
              <w:t>Grassroot mobilization, Community participation facilitation, Motivational support, Public engagement coordination</w:t>
            </w:r>
          </w:p>
        </w:tc>
      </w:tr>
      <w:tr w:rsidR="00496582" w:rsidRPr="00B347F9" w14:paraId="6274693C" w14:textId="77777777" w:rsidTr="00791CAB">
        <w:tc>
          <w:tcPr>
            <w:tcW w:w="0" w:type="auto"/>
            <w:hideMark/>
          </w:tcPr>
          <w:p w14:paraId="389BC7EF" w14:textId="77777777" w:rsidR="00496582" w:rsidRPr="00B347F9" w:rsidRDefault="00496582" w:rsidP="00A72ECB">
            <w:pPr>
              <w:spacing w:line="360" w:lineRule="auto"/>
              <w:ind w:right="283"/>
              <w:jc w:val="both"/>
              <w:rPr>
                <w:rFonts w:ascii="Times" w:hAnsi="Times" w:cs="Times New Roman"/>
                <w:sz w:val="22"/>
                <w:szCs w:val="22"/>
              </w:rPr>
            </w:pPr>
          </w:p>
        </w:tc>
        <w:tc>
          <w:tcPr>
            <w:tcW w:w="0" w:type="auto"/>
            <w:hideMark/>
          </w:tcPr>
          <w:p w14:paraId="4B51EC26" w14:textId="77777777" w:rsidR="00496582" w:rsidRPr="00B347F9" w:rsidRDefault="00496582" w:rsidP="00A72ECB">
            <w:pPr>
              <w:spacing w:line="360" w:lineRule="auto"/>
              <w:ind w:right="283"/>
              <w:jc w:val="both"/>
              <w:rPr>
                <w:rFonts w:ascii="Times" w:hAnsi="Times" w:cs="Times New Roman"/>
                <w:sz w:val="22"/>
                <w:szCs w:val="22"/>
              </w:rPr>
            </w:pPr>
            <w:r w:rsidRPr="00B347F9">
              <w:rPr>
                <w:rFonts w:ascii="Times" w:hAnsi="Times" w:cs="Times New Roman"/>
                <w:sz w:val="22"/>
                <w:szCs w:val="22"/>
              </w:rPr>
              <w:t>Bridging communication between healthcare systems and communities</w:t>
            </w:r>
          </w:p>
        </w:tc>
        <w:tc>
          <w:tcPr>
            <w:tcW w:w="0" w:type="auto"/>
            <w:hideMark/>
          </w:tcPr>
          <w:p w14:paraId="20DD3CDB" w14:textId="77777777" w:rsidR="00496582" w:rsidRPr="00B347F9" w:rsidRDefault="00496582" w:rsidP="00A72ECB">
            <w:pPr>
              <w:spacing w:line="360" w:lineRule="auto"/>
              <w:ind w:right="283"/>
              <w:jc w:val="both"/>
              <w:rPr>
                <w:rFonts w:ascii="Times" w:hAnsi="Times" w:cs="Times New Roman"/>
                <w:sz w:val="22"/>
                <w:szCs w:val="22"/>
              </w:rPr>
            </w:pPr>
            <w:r w:rsidRPr="00B347F9">
              <w:rPr>
                <w:rFonts w:ascii="Times" w:hAnsi="Times" w:cs="Times New Roman"/>
                <w:sz w:val="22"/>
                <w:szCs w:val="22"/>
              </w:rPr>
              <w:t>Healthcare-community linkage, Community outreach coordination, Social influence on participation, Institutional-community collaboration</w:t>
            </w:r>
          </w:p>
        </w:tc>
      </w:tr>
    </w:tbl>
    <w:p w14:paraId="314204ED" w14:textId="67FEE85A" w:rsidR="00496582" w:rsidRPr="00B347F9" w:rsidRDefault="00496582" w:rsidP="00A72ECB">
      <w:pPr>
        <w:spacing w:line="360" w:lineRule="auto"/>
        <w:ind w:right="283"/>
        <w:jc w:val="both"/>
        <w:rPr>
          <w:rFonts w:ascii="Times" w:hAnsi="Times"/>
          <w:sz w:val="22"/>
          <w:szCs w:val="22"/>
        </w:rPr>
      </w:pPr>
    </w:p>
    <w:p w14:paraId="6328A52B" w14:textId="77777777" w:rsidR="00443053" w:rsidRPr="00443053" w:rsidRDefault="00443053" w:rsidP="00443053">
      <w:pPr>
        <w:spacing w:line="360" w:lineRule="auto"/>
        <w:ind w:right="283"/>
        <w:jc w:val="both"/>
        <w:rPr>
          <w:rFonts w:ascii="Times" w:hAnsi="Times"/>
          <w:sz w:val="22"/>
          <w:szCs w:val="22"/>
        </w:rPr>
      </w:pPr>
      <w:r w:rsidRPr="00443053">
        <w:rPr>
          <w:rFonts w:ascii="Times" w:hAnsi="Times"/>
          <w:sz w:val="22"/>
          <w:szCs w:val="22"/>
        </w:rPr>
        <w:t>The thematic analysis highlighted the significant role of undergraduate medical students in promoting community health through active participation in health awareness activities and community outreach programmes. Students perceived themselves as important contributors to health promotion and emphasized the value of empathetic communication, rapport building, and public engagement while interacting with community members. They believed that student-led awareness activities, peer-to-community education, and community mobilization could improve public understanding of preventive healthcare practices and strengthen community participation in health promotion initiatives.</w:t>
      </w:r>
    </w:p>
    <w:p w14:paraId="29554108" w14:textId="77777777" w:rsidR="00443053" w:rsidRPr="00443053" w:rsidRDefault="00443053" w:rsidP="00443053">
      <w:pPr>
        <w:spacing w:line="360" w:lineRule="auto"/>
        <w:ind w:right="283"/>
        <w:jc w:val="both"/>
        <w:rPr>
          <w:rFonts w:ascii="Times" w:hAnsi="Times"/>
          <w:sz w:val="22"/>
          <w:szCs w:val="22"/>
        </w:rPr>
      </w:pPr>
      <w:r w:rsidRPr="00443053">
        <w:rPr>
          <w:rFonts w:ascii="Times" w:hAnsi="Times"/>
          <w:sz w:val="22"/>
          <w:szCs w:val="22"/>
        </w:rPr>
        <w:t>Participants also emphasized the importance of institutional and community-level support in strengthening health education activities. Faculty mentorship, professional guidance, training support, and availability of IEC materials were considered essential for improving students’ confidence and effectiveness during community sessions. In addition, community mobilizers were viewed as key stakeholders in facilitating public participation, bridging communication gaps between healthcare systems and communities, and improving coordination during outreach activities. Students believed that stronger collaboration between institutions, healthcare workers, and community mobilizers could significantly enhance the effectiveness and sustainability of community health education programmes.</w:t>
      </w:r>
    </w:p>
    <w:p w14:paraId="01A466AB" w14:textId="1971060B" w:rsidR="00B347F9" w:rsidRDefault="00B347F9" w:rsidP="00A72ECB">
      <w:pPr>
        <w:spacing w:line="360" w:lineRule="auto"/>
        <w:ind w:right="283"/>
        <w:jc w:val="both"/>
        <w:rPr>
          <w:rFonts w:ascii="Times" w:hAnsi="Times"/>
          <w:sz w:val="22"/>
          <w:szCs w:val="22"/>
        </w:rPr>
      </w:pPr>
    </w:p>
    <w:p w14:paraId="490D58F5" w14:textId="0C464C59" w:rsidR="00B347F9" w:rsidRPr="00076979" w:rsidRDefault="00B347F9" w:rsidP="00A72ECB">
      <w:pPr>
        <w:spacing w:line="360" w:lineRule="auto"/>
        <w:ind w:right="283"/>
        <w:jc w:val="both"/>
        <w:rPr>
          <w:rFonts w:ascii="Times" w:hAnsi="Times"/>
          <w:i/>
          <w:sz w:val="22"/>
          <w:szCs w:val="22"/>
        </w:rPr>
      </w:pPr>
      <w:r w:rsidRPr="00076979">
        <w:rPr>
          <w:rFonts w:ascii="Times" w:hAnsi="Times"/>
          <w:i/>
          <w:sz w:val="22"/>
          <w:szCs w:val="22"/>
        </w:rPr>
        <w:t>Table3:</w:t>
      </w:r>
      <w:r w:rsidR="007A395E">
        <w:rPr>
          <w:rFonts w:ascii="Times" w:hAnsi="Times"/>
          <w:i/>
          <w:sz w:val="22"/>
          <w:szCs w:val="22"/>
        </w:rPr>
        <w:t xml:space="preserve"> </w:t>
      </w:r>
      <w:r w:rsidRPr="00076979">
        <w:rPr>
          <w:rFonts w:ascii="Times" w:hAnsi="Times"/>
          <w:i/>
          <w:sz w:val="22"/>
          <w:szCs w:val="22"/>
        </w:rPr>
        <w:t xml:space="preserve">Sentiment analysis of the participants regarding health education in </w:t>
      </w:r>
      <w:r w:rsidR="006A0414">
        <w:rPr>
          <w:rFonts w:ascii="Times" w:hAnsi="Times"/>
          <w:i/>
          <w:sz w:val="22"/>
          <w:szCs w:val="22"/>
        </w:rPr>
        <w:t xml:space="preserve">a </w:t>
      </w:r>
      <w:r w:rsidRPr="00076979">
        <w:rPr>
          <w:rFonts w:ascii="Times" w:hAnsi="Times"/>
          <w:i/>
          <w:sz w:val="22"/>
          <w:szCs w:val="22"/>
        </w:rPr>
        <w:t>community setting(N=15)</w:t>
      </w:r>
    </w:p>
    <w:tbl>
      <w:tblPr>
        <w:tblStyle w:val="TableGrid"/>
        <w:tblW w:w="0" w:type="auto"/>
        <w:tblLook w:val="04A0" w:firstRow="1" w:lastRow="0" w:firstColumn="1" w:lastColumn="0" w:noHBand="0" w:noVBand="1"/>
      </w:tblPr>
      <w:tblGrid>
        <w:gridCol w:w="3826"/>
        <w:gridCol w:w="5054"/>
      </w:tblGrid>
      <w:tr w:rsidR="00B347F9" w:rsidRPr="00B347F9" w14:paraId="7F7D957E" w14:textId="77777777" w:rsidTr="006A0414">
        <w:trPr>
          <w:trHeight w:val="477"/>
        </w:trPr>
        <w:tc>
          <w:tcPr>
            <w:tcW w:w="3826" w:type="dxa"/>
            <w:hideMark/>
          </w:tcPr>
          <w:p w14:paraId="487D2521" w14:textId="77777777" w:rsidR="00B347F9" w:rsidRPr="00B347F9" w:rsidRDefault="00B347F9" w:rsidP="00A72ECB">
            <w:pPr>
              <w:spacing w:line="360" w:lineRule="auto"/>
              <w:ind w:right="283"/>
              <w:jc w:val="both"/>
              <w:rPr>
                <w:rFonts w:ascii="Times" w:hAnsi="Times"/>
                <w:b/>
                <w:bCs/>
                <w:sz w:val="22"/>
                <w:szCs w:val="22"/>
              </w:rPr>
            </w:pPr>
            <w:r w:rsidRPr="00B347F9">
              <w:rPr>
                <w:rFonts w:ascii="Times" w:hAnsi="Times"/>
                <w:b/>
                <w:bCs/>
                <w:sz w:val="22"/>
                <w:szCs w:val="22"/>
              </w:rPr>
              <w:t>Sentiment Category</w:t>
            </w:r>
          </w:p>
        </w:tc>
        <w:tc>
          <w:tcPr>
            <w:tcW w:w="5054" w:type="dxa"/>
            <w:hideMark/>
          </w:tcPr>
          <w:p w14:paraId="04064479" w14:textId="77777777" w:rsidR="00B347F9" w:rsidRPr="00B347F9" w:rsidRDefault="00B347F9" w:rsidP="00A72ECB">
            <w:pPr>
              <w:spacing w:line="360" w:lineRule="auto"/>
              <w:ind w:right="283"/>
              <w:jc w:val="both"/>
              <w:rPr>
                <w:rFonts w:ascii="Times" w:hAnsi="Times"/>
                <w:b/>
                <w:bCs/>
                <w:sz w:val="22"/>
                <w:szCs w:val="22"/>
              </w:rPr>
            </w:pPr>
            <w:r w:rsidRPr="00B347F9">
              <w:rPr>
                <w:rFonts w:ascii="Times" w:hAnsi="Times"/>
                <w:b/>
                <w:bCs/>
                <w:sz w:val="22"/>
                <w:szCs w:val="22"/>
              </w:rPr>
              <w:t>Overall Pattern</w:t>
            </w:r>
          </w:p>
        </w:tc>
      </w:tr>
      <w:tr w:rsidR="00B347F9" w:rsidRPr="00B347F9" w14:paraId="747DF348" w14:textId="77777777" w:rsidTr="006A0414">
        <w:trPr>
          <w:trHeight w:val="490"/>
        </w:trPr>
        <w:tc>
          <w:tcPr>
            <w:tcW w:w="3826" w:type="dxa"/>
            <w:hideMark/>
          </w:tcPr>
          <w:p w14:paraId="0FDD042E" w14:textId="77777777" w:rsidR="00B347F9" w:rsidRPr="00B347F9" w:rsidRDefault="00B347F9" w:rsidP="00A72ECB">
            <w:pPr>
              <w:spacing w:line="360" w:lineRule="auto"/>
              <w:ind w:right="283"/>
              <w:jc w:val="both"/>
              <w:rPr>
                <w:rFonts w:ascii="Times" w:hAnsi="Times"/>
                <w:sz w:val="22"/>
                <w:szCs w:val="22"/>
              </w:rPr>
            </w:pPr>
            <w:r w:rsidRPr="00B347F9">
              <w:rPr>
                <w:rFonts w:ascii="Times" w:hAnsi="Times"/>
                <w:sz w:val="22"/>
                <w:szCs w:val="22"/>
              </w:rPr>
              <w:t>Positive Sentiment</w:t>
            </w:r>
          </w:p>
        </w:tc>
        <w:tc>
          <w:tcPr>
            <w:tcW w:w="5054" w:type="dxa"/>
            <w:hideMark/>
          </w:tcPr>
          <w:p w14:paraId="2CF60080" w14:textId="77777777" w:rsidR="00B347F9" w:rsidRPr="00B347F9" w:rsidRDefault="00B347F9" w:rsidP="00A72ECB">
            <w:pPr>
              <w:spacing w:line="360" w:lineRule="auto"/>
              <w:ind w:right="283"/>
              <w:jc w:val="both"/>
              <w:rPr>
                <w:rFonts w:ascii="Times" w:hAnsi="Times"/>
                <w:sz w:val="22"/>
                <w:szCs w:val="22"/>
              </w:rPr>
            </w:pPr>
            <w:r w:rsidRPr="00B347F9">
              <w:rPr>
                <w:rFonts w:ascii="Times" w:hAnsi="Times"/>
                <w:sz w:val="22"/>
                <w:szCs w:val="22"/>
              </w:rPr>
              <w:t>Predominant</w:t>
            </w:r>
          </w:p>
        </w:tc>
      </w:tr>
      <w:tr w:rsidR="00B347F9" w:rsidRPr="00B347F9" w14:paraId="681B3431" w14:textId="77777777" w:rsidTr="006A0414">
        <w:trPr>
          <w:trHeight w:val="477"/>
        </w:trPr>
        <w:tc>
          <w:tcPr>
            <w:tcW w:w="3826" w:type="dxa"/>
            <w:hideMark/>
          </w:tcPr>
          <w:p w14:paraId="1EEB079F" w14:textId="77777777" w:rsidR="00B347F9" w:rsidRPr="00B347F9" w:rsidRDefault="00B347F9" w:rsidP="00A72ECB">
            <w:pPr>
              <w:spacing w:line="360" w:lineRule="auto"/>
              <w:ind w:right="283"/>
              <w:jc w:val="both"/>
              <w:rPr>
                <w:rFonts w:ascii="Times" w:hAnsi="Times"/>
                <w:sz w:val="22"/>
                <w:szCs w:val="22"/>
              </w:rPr>
            </w:pPr>
            <w:r w:rsidRPr="00B347F9">
              <w:rPr>
                <w:rFonts w:ascii="Times" w:hAnsi="Times"/>
                <w:sz w:val="22"/>
                <w:szCs w:val="22"/>
              </w:rPr>
              <w:t>Neutral/Reflective Sentiment</w:t>
            </w:r>
          </w:p>
        </w:tc>
        <w:tc>
          <w:tcPr>
            <w:tcW w:w="5054" w:type="dxa"/>
            <w:hideMark/>
          </w:tcPr>
          <w:p w14:paraId="399018FB" w14:textId="77777777" w:rsidR="00B347F9" w:rsidRPr="00B347F9" w:rsidRDefault="00B347F9" w:rsidP="00A72ECB">
            <w:pPr>
              <w:spacing w:line="360" w:lineRule="auto"/>
              <w:ind w:right="283"/>
              <w:jc w:val="both"/>
              <w:rPr>
                <w:rFonts w:ascii="Times" w:hAnsi="Times"/>
                <w:sz w:val="22"/>
                <w:szCs w:val="22"/>
              </w:rPr>
            </w:pPr>
            <w:r w:rsidRPr="00B347F9">
              <w:rPr>
                <w:rFonts w:ascii="Times" w:hAnsi="Times"/>
                <w:sz w:val="22"/>
                <w:szCs w:val="22"/>
              </w:rPr>
              <w:t>Moderate</w:t>
            </w:r>
          </w:p>
        </w:tc>
      </w:tr>
      <w:tr w:rsidR="00B347F9" w:rsidRPr="00B347F9" w14:paraId="08F574DD" w14:textId="77777777" w:rsidTr="006A0414">
        <w:trPr>
          <w:trHeight w:val="490"/>
        </w:trPr>
        <w:tc>
          <w:tcPr>
            <w:tcW w:w="3826" w:type="dxa"/>
            <w:hideMark/>
          </w:tcPr>
          <w:p w14:paraId="76AE21ED" w14:textId="77777777" w:rsidR="00B347F9" w:rsidRPr="00B347F9" w:rsidRDefault="00B347F9" w:rsidP="00A72ECB">
            <w:pPr>
              <w:spacing w:line="360" w:lineRule="auto"/>
              <w:ind w:right="283"/>
              <w:jc w:val="both"/>
              <w:rPr>
                <w:rFonts w:ascii="Times" w:hAnsi="Times"/>
                <w:sz w:val="22"/>
                <w:szCs w:val="22"/>
              </w:rPr>
            </w:pPr>
            <w:r w:rsidRPr="00B347F9">
              <w:rPr>
                <w:rFonts w:ascii="Times" w:hAnsi="Times"/>
                <w:sz w:val="22"/>
                <w:szCs w:val="22"/>
              </w:rPr>
              <w:t>Negative Sentiment</w:t>
            </w:r>
          </w:p>
        </w:tc>
        <w:tc>
          <w:tcPr>
            <w:tcW w:w="5054" w:type="dxa"/>
            <w:hideMark/>
          </w:tcPr>
          <w:p w14:paraId="1158710B" w14:textId="77777777" w:rsidR="00B347F9" w:rsidRPr="00B347F9" w:rsidRDefault="00B347F9" w:rsidP="00A72ECB">
            <w:pPr>
              <w:spacing w:line="360" w:lineRule="auto"/>
              <w:ind w:right="283"/>
              <w:jc w:val="both"/>
              <w:rPr>
                <w:rFonts w:ascii="Times" w:hAnsi="Times"/>
                <w:sz w:val="22"/>
                <w:szCs w:val="22"/>
              </w:rPr>
            </w:pPr>
            <w:r w:rsidRPr="00B347F9">
              <w:rPr>
                <w:rFonts w:ascii="Times" w:hAnsi="Times"/>
                <w:sz w:val="22"/>
                <w:szCs w:val="22"/>
              </w:rPr>
              <w:t>Context-specific and barrier-related</w:t>
            </w:r>
          </w:p>
        </w:tc>
      </w:tr>
    </w:tbl>
    <w:p w14:paraId="69685769" w14:textId="347C5E17" w:rsidR="00B347F9" w:rsidRDefault="00B347F9" w:rsidP="00A72ECB">
      <w:pPr>
        <w:spacing w:line="360" w:lineRule="auto"/>
        <w:ind w:right="283"/>
        <w:jc w:val="both"/>
        <w:rPr>
          <w:rFonts w:ascii="Times" w:hAnsi="Times"/>
          <w:sz w:val="22"/>
          <w:szCs w:val="22"/>
        </w:rPr>
      </w:pPr>
    </w:p>
    <w:p w14:paraId="7D986DB9" w14:textId="77777777" w:rsidR="00B347F9" w:rsidRPr="00B347F9" w:rsidRDefault="00B347F9" w:rsidP="00A72ECB">
      <w:pPr>
        <w:spacing w:line="360" w:lineRule="auto"/>
        <w:ind w:right="283"/>
        <w:jc w:val="both"/>
        <w:rPr>
          <w:rFonts w:ascii="Times" w:hAnsi="Times"/>
          <w:sz w:val="22"/>
          <w:szCs w:val="22"/>
        </w:rPr>
      </w:pPr>
      <w:r w:rsidRPr="00B347F9">
        <w:rPr>
          <w:rFonts w:ascii="Times" w:hAnsi="Times"/>
          <w:sz w:val="22"/>
          <w:szCs w:val="22"/>
        </w:rPr>
        <w:lastRenderedPageBreak/>
        <w:t>The sentiment analysis indicates that undergraduate medical students possess a highly favourable attitude toward health education and strongly recognize its importance in improving community health. Despite experiencing several implementation-related challenges, students remained motivated and solution-oriented. Their narratives reflected a desire for better training, institutional support, and community collaboration to enhance the effectiveness of health education activities. The findings suggest that strengthening practical exposure, communication skills, and mentorship during undergraduate training could further improve students’ confidence and participation in community health promotion initiatives.</w:t>
      </w:r>
    </w:p>
    <w:p w14:paraId="22326F80" w14:textId="35B18765" w:rsidR="00B347F9" w:rsidRDefault="00B347F9" w:rsidP="00A72ECB">
      <w:pPr>
        <w:spacing w:line="360" w:lineRule="auto"/>
        <w:ind w:right="283"/>
        <w:jc w:val="both"/>
        <w:rPr>
          <w:rFonts w:ascii="Times" w:hAnsi="Times"/>
          <w:sz w:val="22"/>
          <w:szCs w:val="22"/>
        </w:rPr>
      </w:pPr>
    </w:p>
    <w:p w14:paraId="76A40DF9" w14:textId="11846200" w:rsidR="0055618A" w:rsidRDefault="0055618A" w:rsidP="00A72ECB">
      <w:pPr>
        <w:spacing w:line="360" w:lineRule="auto"/>
        <w:ind w:right="283"/>
        <w:jc w:val="both"/>
        <w:rPr>
          <w:rFonts w:ascii="Times" w:hAnsi="Times"/>
          <w:sz w:val="22"/>
          <w:szCs w:val="22"/>
        </w:rPr>
      </w:pPr>
      <w:r w:rsidRPr="00624064">
        <w:rPr>
          <w:rFonts w:ascii="Times" w:hAnsi="Times"/>
          <w:noProof/>
          <w:sz w:val="22"/>
          <w:szCs w:val="22"/>
        </w:rPr>
        <w:drawing>
          <wp:inline distT="0" distB="0" distL="0" distR="0" wp14:anchorId="2A99B1AF" wp14:editId="654244D6">
            <wp:extent cx="5727700" cy="2863850"/>
            <wp:effectExtent l="12700" t="12700" r="12700"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allenges final-Fig1.png"/>
                    <pic:cNvPicPr/>
                  </pic:nvPicPr>
                  <pic:blipFill>
                    <a:blip r:embed="rId4">
                      <a:extLst>
                        <a:ext uri="{28A0092B-C50C-407E-A947-70E740481C1C}">
                          <a14:useLocalDpi xmlns:a14="http://schemas.microsoft.com/office/drawing/2010/main" val="0"/>
                        </a:ext>
                      </a:extLst>
                    </a:blip>
                    <a:stretch>
                      <a:fillRect/>
                    </a:stretch>
                  </pic:blipFill>
                  <pic:spPr>
                    <a:xfrm>
                      <a:off x="0" y="0"/>
                      <a:ext cx="5727700" cy="2863850"/>
                    </a:xfrm>
                    <a:prstGeom prst="rect">
                      <a:avLst/>
                    </a:prstGeom>
                    <a:ln>
                      <a:solidFill>
                        <a:schemeClr val="tx1"/>
                      </a:solidFill>
                    </a:ln>
                  </pic:spPr>
                </pic:pic>
              </a:graphicData>
            </a:graphic>
          </wp:inline>
        </w:drawing>
      </w:r>
    </w:p>
    <w:p w14:paraId="6EEA5ED9" w14:textId="77777777" w:rsidR="0055618A" w:rsidRPr="00624064" w:rsidRDefault="0055618A" w:rsidP="0055618A">
      <w:pPr>
        <w:spacing w:line="360" w:lineRule="auto"/>
        <w:rPr>
          <w:rFonts w:ascii="Times" w:hAnsi="Times"/>
          <w:i/>
          <w:sz w:val="22"/>
          <w:szCs w:val="22"/>
          <w:lang w:val="en-US"/>
        </w:rPr>
      </w:pPr>
      <w:r w:rsidRPr="00624064">
        <w:rPr>
          <w:rFonts w:ascii="Times" w:hAnsi="Times"/>
          <w:i/>
          <w:sz w:val="22"/>
          <w:szCs w:val="22"/>
          <w:lang w:val="en-US"/>
        </w:rPr>
        <w:t>Figure 1: Verbatim used for challenges identified by students in imparting health education in the community, based on their frequency of use.</w:t>
      </w:r>
    </w:p>
    <w:p w14:paraId="1EB065AE" w14:textId="6B5A2EF7" w:rsidR="0055618A" w:rsidRDefault="0055618A" w:rsidP="00A72ECB">
      <w:pPr>
        <w:spacing w:line="360" w:lineRule="auto"/>
        <w:ind w:right="283"/>
        <w:jc w:val="both"/>
        <w:rPr>
          <w:rFonts w:ascii="Times" w:hAnsi="Times"/>
          <w:sz w:val="22"/>
          <w:szCs w:val="22"/>
        </w:rPr>
      </w:pPr>
    </w:p>
    <w:p w14:paraId="7DC8A553" w14:textId="01D7BB91" w:rsidR="0055618A" w:rsidRDefault="0055618A" w:rsidP="00A72ECB">
      <w:pPr>
        <w:spacing w:line="360" w:lineRule="auto"/>
        <w:ind w:right="283"/>
        <w:jc w:val="both"/>
        <w:rPr>
          <w:rFonts w:ascii="Times" w:hAnsi="Times"/>
          <w:sz w:val="22"/>
          <w:szCs w:val="22"/>
        </w:rPr>
      </w:pPr>
      <w:r w:rsidRPr="00624064">
        <w:rPr>
          <w:rFonts w:ascii="Times" w:hAnsi="Times"/>
          <w:noProof/>
          <w:sz w:val="22"/>
          <w:szCs w:val="22"/>
        </w:rPr>
        <w:drawing>
          <wp:inline distT="0" distB="0" distL="0" distR="0" wp14:anchorId="38613CAB" wp14:editId="05614D62">
            <wp:extent cx="5727700" cy="2863850"/>
            <wp:effectExtent l="12700" t="12700" r="12700" b="190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pportunities_final_Fig2.png"/>
                    <pic:cNvPicPr/>
                  </pic:nvPicPr>
                  <pic:blipFill>
                    <a:blip r:embed="rId5">
                      <a:extLst>
                        <a:ext uri="{28A0092B-C50C-407E-A947-70E740481C1C}">
                          <a14:useLocalDpi xmlns:a14="http://schemas.microsoft.com/office/drawing/2010/main" val="0"/>
                        </a:ext>
                      </a:extLst>
                    </a:blip>
                    <a:stretch>
                      <a:fillRect/>
                    </a:stretch>
                  </pic:blipFill>
                  <pic:spPr>
                    <a:xfrm>
                      <a:off x="0" y="0"/>
                      <a:ext cx="5727700" cy="2863850"/>
                    </a:xfrm>
                    <a:prstGeom prst="rect">
                      <a:avLst/>
                    </a:prstGeom>
                    <a:ln>
                      <a:solidFill>
                        <a:schemeClr val="tx1"/>
                      </a:solidFill>
                    </a:ln>
                  </pic:spPr>
                </pic:pic>
              </a:graphicData>
            </a:graphic>
          </wp:inline>
        </w:drawing>
      </w:r>
    </w:p>
    <w:p w14:paraId="3BA4FB9C" w14:textId="77777777" w:rsidR="0055618A" w:rsidRPr="00624064" w:rsidRDefault="0055618A" w:rsidP="0055618A">
      <w:pPr>
        <w:spacing w:line="360" w:lineRule="auto"/>
        <w:jc w:val="both"/>
        <w:rPr>
          <w:rFonts w:ascii="Times" w:hAnsi="Times"/>
          <w:i/>
          <w:sz w:val="22"/>
          <w:szCs w:val="22"/>
          <w:lang w:val="en-US"/>
        </w:rPr>
      </w:pPr>
      <w:r w:rsidRPr="00624064">
        <w:rPr>
          <w:rFonts w:ascii="Times" w:hAnsi="Times"/>
          <w:i/>
          <w:sz w:val="22"/>
          <w:szCs w:val="22"/>
          <w:lang w:val="en-US"/>
        </w:rPr>
        <w:lastRenderedPageBreak/>
        <w:t>Figure 2: Verbatim used for suggestions by students for improvement of health education in the community according to their frequency of use.</w:t>
      </w:r>
    </w:p>
    <w:p w14:paraId="4C434FAA" w14:textId="77777777" w:rsidR="0055618A" w:rsidRPr="00B347F9" w:rsidRDefault="0055618A" w:rsidP="00A72ECB">
      <w:pPr>
        <w:spacing w:line="360" w:lineRule="auto"/>
        <w:ind w:right="283"/>
        <w:jc w:val="both"/>
        <w:rPr>
          <w:rFonts w:ascii="Times" w:hAnsi="Times"/>
          <w:sz w:val="22"/>
          <w:szCs w:val="22"/>
        </w:rPr>
      </w:pPr>
    </w:p>
    <w:sectPr w:rsidR="0055618A" w:rsidRPr="00B347F9" w:rsidSect="00B347F9">
      <w:pgSz w:w="11900" w:h="16840"/>
      <w:pgMar w:top="1440" w:right="1246"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1EB"/>
    <w:rsid w:val="00021838"/>
    <w:rsid w:val="0003311E"/>
    <w:rsid w:val="00076979"/>
    <w:rsid w:val="00232164"/>
    <w:rsid w:val="003F1F63"/>
    <w:rsid w:val="00443053"/>
    <w:rsid w:val="00496582"/>
    <w:rsid w:val="0055618A"/>
    <w:rsid w:val="006A0414"/>
    <w:rsid w:val="007A395E"/>
    <w:rsid w:val="00914C39"/>
    <w:rsid w:val="00A00CC3"/>
    <w:rsid w:val="00A72ECB"/>
    <w:rsid w:val="00B347F9"/>
    <w:rsid w:val="00C23571"/>
    <w:rsid w:val="00D951EB"/>
    <w:rsid w:val="00F452B9"/>
    <w:rsid w:val="00FA71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5C8A4"/>
  <w15:chartTrackingRefBased/>
  <w15:docId w15:val="{9729EB12-1F8A-2841-8389-B7CBF0AD0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00C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02016">
      <w:bodyDiv w:val="1"/>
      <w:marLeft w:val="0"/>
      <w:marRight w:val="0"/>
      <w:marTop w:val="0"/>
      <w:marBottom w:val="0"/>
      <w:divBdr>
        <w:top w:val="none" w:sz="0" w:space="0" w:color="auto"/>
        <w:left w:val="none" w:sz="0" w:space="0" w:color="auto"/>
        <w:bottom w:val="none" w:sz="0" w:space="0" w:color="auto"/>
        <w:right w:val="none" w:sz="0" w:space="0" w:color="auto"/>
      </w:divBdr>
    </w:div>
    <w:div w:id="208612046">
      <w:bodyDiv w:val="1"/>
      <w:marLeft w:val="0"/>
      <w:marRight w:val="0"/>
      <w:marTop w:val="0"/>
      <w:marBottom w:val="0"/>
      <w:divBdr>
        <w:top w:val="none" w:sz="0" w:space="0" w:color="auto"/>
        <w:left w:val="none" w:sz="0" w:space="0" w:color="auto"/>
        <w:bottom w:val="none" w:sz="0" w:space="0" w:color="auto"/>
        <w:right w:val="none" w:sz="0" w:space="0" w:color="auto"/>
      </w:divBdr>
    </w:div>
    <w:div w:id="383140446">
      <w:bodyDiv w:val="1"/>
      <w:marLeft w:val="0"/>
      <w:marRight w:val="0"/>
      <w:marTop w:val="0"/>
      <w:marBottom w:val="0"/>
      <w:divBdr>
        <w:top w:val="none" w:sz="0" w:space="0" w:color="auto"/>
        <w:left w:val="none" w:sz="0" w:space="0" w:color="auto"/>
        <w:bottom w:val="none" w:sz="0" w:space="0" w:color="auto"/>
        <w:right w:val="none" w:sz="0" w:space="0" w:color="auto"/>
      </w:divBdr>
    </w:div>
    <w:div w:id="656884028">
      <w:bodyDiv w:val="1"/>
      <w:marLeft w:val="0"/>
      <w:marRight w:val="0"/>
      <w:marTop w:val="0"/>
      <w:marBottom w:val="0"/>
      <w:divBdr>
        <w:top w:val="none" w:sz="0" w:space="0" w:color="auto"/>
        <w:left w:val="none" w:sz="0" w:space="0" w:color="auto"/>
        <w:bottom w:val="none" w:sz="0" w:space="0" w:color="auto"/>
        <w:right w:val="none" w:sz="0" w:space="0" w:color="auto"/>
      </w:divBdr>
    </w:div>
    <w:div w:id="751656193">
      <w:bodyDiv w:val="1"/>
      <w:marLeft w:val="0"/>
      <w:marRight w:val="0"/>
      <w:marTop w:val="0"/>
      <w:marBottom w:val="0"/>
      <w:divBdr>
        <w:top w:val="none" w:sz="0" w:space="0" w:color="auto"/>
        <w:left w:val="none" w:sz="0" w:space="0" w:color="auto"/>
        <w:bottom w:val="none" w:sz="0" w:space="0" w:color="auto"/>
        <w:right w:val="none" w:sz="0" w:space="0" w:color="auto"/>
      </w:divBdr>
    </w:div>
    <w:div w:id="854618577">
      <w:bodyDiv w:val="1"/>
      <w:marLeft w:val="0"/>
      <w:marRight w:val="0"/>
      <w:marTop w:val="0"/>
      <w:marBottom w:val="0"/>
      <w:divBdr>
        <w:top w:val="none" w:sz="0" w:space="0" w:color="auto"/>
        <w:left w:val="none" w:sz="0" w:space="0" w:color="auto"/>
        <w:bottom w:val="none" w:sz="0" w:space="0" w:color="auto"/>
        <w:right w:val="none" w:sz="0" w:space="0" w:color="auto"/>
      </w:divBdr>
    </w:div>
    <w:div w:id="873343044">
      <w:bodyDiv w:val="1"/>
      <w:marLeft w:val="0"/>
      <w:marRight w:val="0"/>
      <w:marTop w:val="0"/>
      <w:marBottom w:val="0"/>
      <w:divBdr>
        <w:top w:val="none" w:sz="0" w:space="0" w:color="auto"/>
        <w:left w:val="none" w:sz="0" w:space="0" w:color="auto"/>
        <w:bottom w:val="none" w:sz="0" w:space="0" w:color="auto"/>
        <w:right w:val="none" w:sz="0" w:space="0" w:color="auto"/>
      </w:divBdr>
    </w:div>
    <w:div w:id="954484885">
      <w:bodyDiv w:val="1"/>
      <w:marLeft w:val="0"/>
      <w:marRight w:val="0"/>
      <w:marTop w:val="0"/>
      <w:marBottom w:val="0"/>
      <w:divBdr>
        <w:top w:val="none" w:sz="0" w:space="0" w:color="auto"/>
        <w:left w:val="none" w:sz="0" w:space="0" w:color="auto"/>
        <w:bottom w:val="none" w:sz="0" w:space="0" w:color="auto"/>
        <w:right w:val="none" w:sz="0" w:space="0" w:color="auto"/>
      </w:divBdr>
    </w:div>
    <w:div w:id="959726968">
      <w:bodyDiv w:val="1"/>
      <w:marLeft w:val="0"/>
      <w:marRight w:val="0"/>
      <w:marTop w:val="0"/>
      <w:marBottom w:val="0"/>
      <w:divBdr>
        <w:top w:val="none" w:sz="0" w:space="0" w:color="auto"/>
        <w:left w:val="none" w:sz="0" w:space="0" w:color="auto"/>
        <w:bottom w:val="none" w:sz="0" w:space="0" w:color="auto"/>
        <w:right w:val="none" w:sz="0" w:space="0" w:color="auto"/>
      </w:divBdr>
    </w:div>
    <w:div w:id="1316564658">
      <w:bodyDiv w:val="1"/>
      <w:marLeft w:val="0"/>
      <w:marRight w:val="0"/>
      <w:marTop w:val="0"/>
      <w:marBottom w:val="0"/>
      <w:divBdr>
        <w:top w:val="none" w:sz="0" w:space="0" w:color="auto"/>
        <w:left w:val="none" w:sz="0" w:space="0" w:color="auto"/>
        <w:bottom w:val="none" w:sz="0" w:space="0" w:color="auto"/>
        <w:right w:val="none" w:sz="0" w:space="0" w:color="auto"/>
      </w:divBdr>
    </w:div>
    <w:div w:id="1792702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1035</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dcterms:created xsi:type="dcterms:W3CDTF">2026-05-08T16:56:00Z</dcterms:created>
  <dcterms:modified xsi:type="dcterms:W3CDTF">2026-05-12T16:30:00Z</dcterms:modified>
</cp:coreProperties>
</file>