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Supplementary File 2. COREQ Checklist</w:t>
      </w:r>
    </w:p>
    <w:p>
      <w:pPr>
        <w:jc w:val="center"/>
      </w:pPr>
      <w:r>
        <w:rPr>
          <w:rFonts w:ascii="Arial" w:hAnsi="Arial"/>
          <w:i/>
          <w:sz w:val="20"/>
        </w:rPr>
        <w:t>Consolidated Criteria for Reporting Qualitative Research (COREQ): 32-item checklist</w:t>
      </w:r>
    </w:p>
    <w:p>
      <w:r>
        <w:rPr>
          <w:rFonts w:ascii="Arial" w:hAnsi="Arial"/>
          <w:b/>
          <w:sz w:val="18"/>
        </w:rPr>
        <w:t xml:space="preserve">Manuscript title: </w:t>
      </w:r>
      <w:r>
        <w:rPr>
          <w:rFonts w:ascii="Arial" w:hAnsi="Arial"/>
          <w:sz w:val="18"/>
        </w:rPr>
        <w:t>Learning to engage in clinical research: a qualitative study developing a behavioural pathway model among nurses in China</w:t>
      </w:r>
    </w:p>
    <w:p>
      <w:r>
        <w:rPr>
          <w:rFonts w:ascii="Arial" w:hAnsi="Arial"/>
          <w:b/>
          <w:sz w:val="18"/>
        </w:rPr>
        <w:t xml:space="preserve">Note: </w:t>
      </w:r>
      <w:r>
        <w:rPr>
          <w:rFonts w:ascii="Arial" w:hAnsi="Arial"/>
          <w:sz w:val="18"/>
        </w:rPr>
        <w:t>Section locations are provided because final line numbers may change during journal formatting. Items marked as not conducted or not reported are stated transparently rather than inferred.</w:t>
      </w:r>
    </w:p>
    <w:p>
      <w:r>
        <w:rPr>
          <w:rFonts w:ascii="Arial" w:hAnsi="Arial"/>
          <w:b/>
          <w:sz w:val="22"/>
        </w:rPr>
        <w:t>Domain 1: Research team and reflexivity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rPr>
          <w:tblHeader w:val="true"/>
        </w:trPr>
        <w:tc>
          <w:tcPr>
            <w:tcW w:type="dxa" w:w="6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No.</w:t>
            </w:r>
          </w:p>
        </w:tc>
        <w:tc>
          <w:tcPr>
            <w:tcW w:type="dxa" w:w="21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COREQ item</w:t>
            </w:r>
          </w:p>
        </w:tc>
        <w:tc>
          <w:tcPr>
            <w:tcW w:type="dxa" w:w="35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Guide question</w:t>
            </w:r>
          </w:p>
        </w:tc>
        <w:tc>
          <w:tcPr>
            <w:tcW w:type="dxa" w:w="6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Response / how addressed in the manuscript</w:t>
            </w:r>
          </w:p>
        </w:tc>
        <w:tc>
          <w:tcPr>
            <w:tcW w:type="dxa" w:w="2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Location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Personal characteristics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Interviewer/facilitator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Which author/s conducted the interview or focus group?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Interviews were conducted by the first author.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Credentials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were the researcher’s credentials?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interviewer is described as a clinical nursing researcher; author information includes nursing qualifications.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collection; Author information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3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Occupation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was their occupation at the time of the study?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interviewer was working as a clinical nursing researcher within the hospital.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2.5 Reflexivity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4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Gender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Was the researcher male or female?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 in the revised manuscript/author information as applicable.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2.5 Reflexivity / Author information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5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Experience and training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experience or training did the researcher have?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interviewer had prior training and experience in qualitative interviewing. Reflexive thematic analysis was used and analytic discussions were conducted within the research team.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collection; Methods 2.4 Data analysis; Methods 2.5 Reflexivity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Relationship with participants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6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Relationship established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Was a relationship established prior to study commencement?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Some participants may have known the interviewer or recognised her institutional role; this insider position is discussed reflexively.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2.5 Reflexivity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7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Participant knowledge of the interviewer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did the participants know about the researcher?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Participants were informed that the study explored experiences rather than performance and that participation was voluntary and anonymised.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2.5 Reflexivity; Ethics approval and consent to participate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8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Interviewer characteristics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characteristics were reported about the interviewer/facilitator?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interviewer’s insider position, clinical nursing research role, potential power dynamics, and possible influence on disclosure are described.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2.5 Reflexivity</w:t>
            </w:r>
          </w:p>
        </w:tc>
      </w:tr>
    </w:tbl>
    <w:p/>
    <w:p>
      <w:r>
        <w:rPr>
          <w:rFonts w:ascii="Arial" w:hAnsi="Arial"/>
          <w:b/>
          <w:sz w:val="22"/>
        </w:rPr>
        <w:t>Domain 2: Study design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rPr>
          <w:tblHeader w:val="true"/>
        </w:trPr>
        <w:tc>
          <w:tcPr>
            <w:tcW w:type="dxa" w:w="6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No.</w:t>
            </w:r>
          </w:p>
        </w:tc>
        <w:tc>
          <w:tcPr>
            <w:tcW w:type="dxa" w:w="21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COREQ item</w:t>
            </w:r>
          </w:p>
        </w:tc>
        <w:tc>
          <w:tcPr>
            <w:tcW w:type="dxa" w:w="35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Guide question</w:t>
            </w:r>
          </w:p>
        </w:tc>
        <w:tc>
          <w:tcPr>
            <w:tcW w:type="dxa" w:w="6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Response / how addressed in the manuscript</w:t>
            </w:r>
          </w:p>
        </w:tc>
        <w:tc>
          <w:tcPr>
            <w:tcW w:type="dxa" w:w="2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Location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Theoretical framework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9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Methodological orientation and theory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methodological orientation was stated to underpin the study?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study used an interpretive qualitative design and reflexive thematic analysis, informed by research literacy and COM-B as sensitising concepts.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2.1 Study design; Methods 2.4 Data analysis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Participant selection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10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Sampling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How were participants selected?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Purposive maximum-variation sampling was used to capture variation in department/clinical area, career stage, professional role, educational pathway, and research or QI exposure.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2.2 Setting and participants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11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 of approach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How were participants approached?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Potential participants were identified with assistance from departmental nurse managers and clinical contacts, then approached individually by the research team in person or through telephone/WeChat contact.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2.2 Setting and participants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12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Sample size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How many participants were in the study?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Twenty clinical nurses participated.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3.1 Participant characteristics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13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Non-participation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How many people refused to participate or dropped out? Reasons?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Not explicitly reported. No withdrawals after consent were reported. If required by the journal, the number of refusals/non-participants can be added if available.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2.2 Setting and participants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Setting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14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Setting of data collection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Where was the data collected?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Interviews were conducted face-to-face in private rooms within the hospital.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15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Presence of non-participants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Was anyone else present besides the participants and researchers?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 indirectly. Interviews were conducted in private rooms to reduce the possibility that responses would be overheard by colleagues or managers; no non-participants were present.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collection; Methods 2.5 Reflexivity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16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Description of sample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are the important characteristics of the sample?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Participant characteristics are summarised in the Results and anonymised in Supplementary Table 1.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3.1 Participant characteristics; Supplementary Table 1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Data collection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17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Interview guide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questions, prompts, or guides provided?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The interview guide was organised around six domains and example questions are provided in the Methods. The full guide is provided as Supplementary File 1.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collection; Supplementary File 1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18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Repeat interviews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repeat interviews carried out?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Not carried out. Data were collected through one individual semi-structured interview with each participant.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19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Audio/visual recording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Did the research use audio or visual recording?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With participants’ consent, interviews were audio-recorded and transcribed verbatim.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20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Field notes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field notes made during and/or after the interview?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Field notes were written immediately after each interview to capture contextual observations, interviewer reflections, and early analytic questions; they supported reflexive memos and theme refinement.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collection; Methods 2.4 Data analysis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21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Duration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was the duration of the interviews?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Each interview lasted between 40 and 70 minutes.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2.3 Data collection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22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Data saturation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Was data saturation discussed?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 using conceptual sufficiency. After approximately the 16th interview no substantially new patterns were identified; four further interviews tested and refined the interpretation. Recruitment stopped after 20 interviews.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2.2 Setting and participants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23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Transcripts returned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transcripts returned to participants for comment or correction?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Not conducted. Transcripts were not returned to all participants for correction; the analysis relied on verbatim transcripts, reflexive memos, and team discussion.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2.4 Data analysis; Limitations if applicable</w:t>
            </w:r>
          </w:p>
        </w:tc>
      </w:tr>
    </w:tbl>
    <w:p/>
    <w:p>
      <w:r>
        <w:rPr>
          <w:rFonts w:ascii="Arial" w:hAnsi="Arial"/>
          <w:b/>
          <w:sz w:val="22"/>
        </w:rPr>
        <w:t>Domain 3: Analysis and findings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rPr>
          <w:tblHeader w:val="true"/>
        </w:trPr>
        <w:tc>
          <w:tcPr>
            <w:tcW w:type="dxa" w:w="6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No.</w:t>
            </w:r>
          </w:p>
        </w:tc>
        <w:tc>
          <w:tcPr>
            <w:tcW w:type="dxa" w:w="21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COREQ item</w:t>
            </w:r>
          </w:p>
        </w:tc>
        <w:tc>
          <w:tcPr>
            <w:tcW w:type="dxa" w:w="35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Guide question</w:t>
            </w:r>
          </w:p>
        </w:tc>
        <w:tc>
          <w:tcPr>
            <w:tcW w:type="dxa" w:w="6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Response / how addressed in the manuscript</w:t>
            </w:r>
          </w:p>
        </w:tc>
        <w:tc>
          <w:tcPr>
            <w:tcW w:type="dxa" w:w="2800"/>
            <w:shd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5"/>
              </w:rPr>
              <w:t>Location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Data analysis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24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Number of data coders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How many data coders coded the data?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One author led initial coding and theme development; both authors reviewed selected transcripts, coding summaries, candidate themes, discrepant cases, and illustrative extracts.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2.4 Data analysis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25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Description of the coding tree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Did authors provide a description of the coding tree?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Partially reported. The manuscript describes movement from descriptive categories to broader interpretive themes. A formal coding tree is not provided, but theme-to-theory mapping is included in Supplementary Table 2.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2.4 Data analysis; Supplementary Table 2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26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Derivation of themes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themes identified in advance or derived from the data?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Initial codes and candidate themes were generated inductively. Research literacy and COM-B were used after candidate theme development as sensitising concepts rather than predefined coding categories.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2.1 Study design; Methods 2.4 Data analysis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27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Software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What software, if applicable, was used to manage the data?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Not used or not reported. Analysis was managed through repeated reading, coding summaries, analytic memos, and team discussion. If qualitative software was used, details should be added.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2.4 Data analysis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28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Participant checking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Did participants provide feedback on the findings?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Not conducted as formal participant checking. Interpretations were refined through reflexive memos and research team discussion.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Methods 2.4 Data analysis; Methods 2.5 Reflexivity</w:t>
            </w:r>
          </w:p>
        </w:tc>
      </w:tr>
      <w:tr>
        <w:tc>
          <w:tcPr>
            <w:tcW w:type="dxa" w:w="6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/>
                <w:sz w:val="14"/>
              </w:rPr>
              <w:t>Reporting</w:t>
            </w:r>
          </w:p>
        </w:tc>
        <w:tc>
          <w:tcPr>
            <w:tcW w:type="dxa" w:w="21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35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6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  <w:tc>
          <w:tcPr>
            <w:tcW w:type="dxa" w:w="2800"/>
            <w:shd w:fill="EDEDED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/>
                <w:sz w:val="14"/>
              </w:rPr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29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Quotations presented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participant quotations presented to illustrate the themes?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Quotations are provided for each theme and attributed using participant ID, general professional role, highest education, and years-of-service range to reduce identifiability.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3.2-3.5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30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Data and findings consistent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Was there consistency between the data presented and the findings?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Each theme is supported by participant quotations and followed by interpretive summaries linking empirical findings to conceptual interpretation.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3.2-3.6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31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Clarity of major themes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Were major themes clearly presented?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Four major themes are presented and synthesised into a heuristic behavioural pathway model.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3.2-3.6; Figure 1</w:t>
            </w:r>
          </w:p>
        </w:tc>
      </w:tr>
      <w:tr>
        <w:tc>
          <w:tcPr>
            <w:tcW w:type="dxa" w:w="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32</w:t>
            </w:r>
          </w:p>
        </w:tc>
        <w:tc>
          <w:tcPr>
            <w:tcW w:type="dxa" w:w="21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Clarity of minor themes</w:t>
            </w:r>
          </w:p>
        </w:tc>
        <w:tc>
          <w:tcPr>
            <w:tcW w:type="dxa" w:w="3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Is there a description of diverse cases or discussion of minor themes?</w:t>
            </w:r>
          </w:p>
        </w:tc>
        <w:tc>
          <w:tcPr>
            <w:tcW w:type="dxa" w:w="6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Reported. Between-category analysis addresses variation across career stage, educational preparation, professional role, and research exposure. Less typical or discrepant cases were considered during analysis.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4"/>
              </w:rPr>
              <w:t>Results 3.1-3.6; Methods 2.4 Data analysis</w:t>
            </w:r>
          </w:p>
        </w:tc>
      </w:tr>
    </w:tbl>
    <w:p/>
    <w:sectPr w:rsidR="00FC693F" w:rsidRPr="0006063C" w:rsidSect="00034616">
      <w:footerReference w:type="default" r:id="rId9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Supplementary File 2. COREQ 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2. COREQ Checklist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