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5B49D" w14:textId="77777777" w:rsidR="0078358F" w:rsidRPr="0078358F" w:rsidRDefault="0078358F" w:rsidP="0078358F">
      <w:pPr>
        <w:spacing w:before="3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S" w:eastAsia="de-DE"/>
          <w14:ligatures w14:val="none"/>
        </w:rPr>
      </w:pPr>
    </w:p>
    <w:p w14:paraId="09B23CDF" w14:textId="77777777" w:rsidR="0078358F" w:rsidRPr="0078358F" w:rsidRDefault="0078358F" w:rsidP="0078358F">
      <w:pPr>
        <w:spacing w:before="3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S" w:eastAsia="de-DE"/>
          <w14:ligatures w14:val="none"/>
        </w:rPr>
      </w:pPr>
    </w:p>
    <w:p w14:paraId="498EDAB9" w14:textId="77777777" w:rsidR="0078358F" w:rsidRPr="0078358F" w:rsidRDefault="0078358F" w:rsidP="0078358F">
      <w:pPr>
        <w:spacing w:before="3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S" w:eastAsia="de-DE"/>
          <w14:ligatures w14:val="none"/>
        </w:rPr>
      </w:pPr>
    </w:p>
    <w:p w14:paraId="5ABF45CB" w14:textId="77777777" w:rsidR="0078358F" w:rsidRPr="0078358F" w:rsidRDefault="0078358F" w:rsidP="0078358F">
      <w:pPr>
        <w:spacing w:before="3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S" w:eastAsia="de-DE"/>
          <w14:ligatures w14:val="none"/>
        </w:rPr>
      </w:pPr>
    </w:p>
    <w:p w14:paraId="242E6EFE" w14:textId="77777777" w:rsidR="00D47C5F" w:rsidRDefault="00D47C5F" w:rsidP="0078358F">
      <w:pPr>
        <w:spacing w:before="3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S" w:eastAsia="de-DE"/>
          <w14:ligatures w14:val="none"/>
        </w:rPr>
      </w:pPr>
    </w:p>
    <w:p w14:paraId="6C17BAC3" w14:textId="231CD545" w:rsidR="0078358F" w:rsidRPr="0078358F" w:rsidRDefault="0078358F" w:rsidP="0078358F">
      <w:pPr>
        <w:spacing w:before="3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S" w:eastAsia="de-DE"/>
          <w14:ligatures w14:val="none"/>
        </w:rPr>
      </w:pPr>
      <w:r w:rsidRPr="0078358F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S" w:eastAsia="de-DE"/>
          <w14:ligatures w14:val="none"/>
        </w:rPr>
        <w:t>APPENDIX</w:t>
      </w:r>
    </w:p>
    <w:p w14:paraId="3006CD23" w14:textId="77777777" w:rsidR="0078358F" w:rsidRPr="0078358F" w:rsidRDefault="0078358F" w:rsidP="0078358F">
      <w:pPr>
        <w:spacing w:before="3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S" w:eastAsia="de-DE"/>
          <w14:ligatures w14:val="none"/>
        </w:rPr>
      </w:pPr>
    </w:p>
    <w:p w14:paraId="74A2FAC6" w14:textId="5D825585" w:rsidR="0078358F" w:rsidRPr="0078358F" w:rsidRDefault="0078358F" w:rsidP="0078358F">
      <w:pPr>
        <w:spacing w:before="36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S" w:eastAsia="de-DE"/>
          <w14:ligatures w14:val="none"/>
        </w:rPr>
      </w:pPr>
      <w:r w:rsidRPr="0078358F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en-US" w:eastAsia="de-DE"/>
          <w14:ligatures w14:val="none"/>
        </w:rPr>
        <w:t>Pilot of a blended learning model on medical students’ communication skills in the context of digital innovations</w:t>
      </w:r>
    </w:p>
    <w:p w14:paraId="3BB3AA97" w14:textId="77777777" w:rsidR="000B6B32" w:rsidRPr="009D30E8" w:rsidRDefault="000B6B32" w:rsidP="000B6B32">
      <w:pPr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9D30E8">
        <w:rPr>
          <w:rFonts w:ascii="Arial" w:hAnsi="Arial" w:cs="Arial"/>
          <w:i/>
          <w:iCs/>
          <w:color w:val="000000" w:themeColor="text1"/>
          <w:sz w:val="20"/>
          <w:szCs w:val="20"/>
        </w:rPr>
        <w:t>Jonas Töpfer</w:t>
      </w:r>
      <w:bookmarkStart w:id="0" w:name="_Ref225926429"/>
      <w:r>
        <w:rPr>
          <w:rStyle w:val="FootnoteReference"/>
          <w:rFonts w:ascii="Arial" w:hAnsi="Arial" w:cs="Arial"/>
          <w:i/>
          <w:iCs/>
          <w:color w:val="000000" w:themeColor="text1"/>
          <w:sz w:val="20"/>
          <w:szCs w:val="20"/>
        </w:rPr>
        <w:footnoteReference w:id="1"/>
      </w:r>
      <w:bookmarkEnd w:id="0"/>
      <w:r w:rsidRPr="009D30E8">
        <w:rPr>
          <w:rFonts w:ascii="Arial" w:hAnsi="Arial" w:cs="Arial"/>
          <w:i/>
          <w:iCs/>
          <w:color w:val="000000" w:themeColor="text1"/>
          <w:sz w:val="20"/>
          <w:szCs w:val="20"/>
        </w:rPr>
        <w:t>, Sebastian Fritsch</w:t>
      </w:r>
      <w:r>
        <w:rPr>
          <w:rFonts w:ascii="Arial" w:hAnsi="Arial" w:cs="Arial"/>
          <w:i/>
          <w:iCs/>
          <w:color w:val="000000" w:themeColor="text1"/>
          <w:sz w:val="20"/>
          <w:szCs w:val="20"/>
        </w:rPr>
        <w:fldChar w:fldCharType="begin"/>
      </w:r>
      <w:r w:rsidRPr="009D30E8">
        <w:rPr>
          <w:rFonts w:ascii="Arial" w:hAnsi="Arial" w:cs="Arial"/>
          <w:i/>
          <w:iCs/>
          <w:color w:val="000000" w:themeColor="text1"/>
          <w:sz w:val="20"/>
          <w:szCs w:val="20"/>
        </w:rPr>
        <w:instrText xml:space="preserve"> NOTEREF _Ref225926429 \f \h </w:instrText>
      </w:r>
      <w:r>
        <w:rPr>
          <w:rFonts w:ascii="Arial" w:hAnsi="Arial" w:cs="Arial"/>
          <w:i/>
          <w:iCs/>
          <w:color w:val="000000" w:themeColor="text1"/>
          <w:sz w:val="20"/>
          <w:szCs w:val="20"/>
        </w:rPr>
      </w:r>
      <w:r>
        <w:rPr>
          <w:rFonts w:ascii="Arial" w:hAnsi="Arial" w:cs="Arial"/>
          <w:i/>
          <w:iCs/>
          <w:color w:val="000000" w:themeColor="text1"/>
          <w:sz w:val="20"/>
          <w:szCs w:val="20"/>
        </w:rPr>
        <w:fldChar w:fldCharType="separate"/>
      </w:r>
      <w:r w:rsidRPr="009D30E8">
        <w:rPr>
          <w:rStyle w:val="FootnoteReference"/>
        </w:rPr>
        <w:t>1</w:t>
      </w:r>
      <w:r>
        <w:rPr>
          <w:rFonts w:ascii="Arial" w:hAnsi="Arial" w:cs="Arial"/>
          <w:i/>
          <w:iCs/>
          <w:color w:val="000000" w:themeColor="text1"/>
          <w:sz w:val="20"/>
          <w:szCs w:val="20"/>
        </w:rPr>
        <w:fldChar w:fldCharType="end"/>
      </w:r>
      <w:r>
        <w:rPr>
          <w:rStyle w:val="FootnoteReference"/>
          <w:rFonts w:ascii="Arial" w:hAnsi="Arial" w:cs="Arial"/>
          <w:i/>
          <w:iCs/>
          <w:color w:val="000000" w:themeColor="text1"/>
          <w:sz w:val="20"/>
          <w:szCs w:val="20"/>
        </w:rPr>
        <w:footnoteReference w:id="2"/>
      </w:r>
      <w:r w:rsidRPr="009D30E8">
        <w:rPr>
          <w:rFonts w:ascii="Arial" w:hAnsi="Arial" w:cs="Arial"/>
          <w:i/>
          <w:iCs/>
          <w:color w:val="000000" w:themeColor="text1"/>
          <w:sz w:val="20"/>
          <w:szCs w:val="20"/>
        </w:rPr>
        <w:t>, Anja Wollny</w:t>
      </w:r>
      <w:r>
        <w:rPr>
          <w:rFonts w:ascii="Arial" w:hAnsi="Arial" w:cs="Arial"/>
          <w:i/>
          <w:iCs/>
          <w:color w:val="000000" w:themeColor="text1"/>
          <w:sz w:val="20"/>
          <w:szCs w:val="20"/>
        </w:rPr>
        <w:fldChar w:fldCharType="begin"/>
      </w:r>
      <w:r w:rsidRPr="009D30E8">
        <w:rPr>
          <w:rFonts w:ascii="Arial" w:hAnsi="Arial" w:cs="Arial"/>
          <w:i/>
          <w:iCs/>
          <w:color w:val="000000" w:themeColor="text1"/>
          <w:sz w:val="20"/>
          <w:szCs w:val="20"/>
        </w:rPr>
        <w:instrText xml:space="preserve"> NOTEREF _Ref225926429 \f \h </w:instrText>
      </w:r>
      <w:r>
        <w:rPr>
          <w:rFonts w:ascii="Arial" w:hAnsi="Arial" w:cs="Arial"/>
          <w:i/>
          <w:iCs/>
          <w:color w:val="000000" w:themeColor="text1"/>
          <w:sz w:val="20"/>
          <w:szCs w:val="20"/>
        </w:rPr>
      </w:r>
      <w:r>
        <w:rPr>
          <w:rFonts w:ascii="Arial" w:hAnsi="Arial" w:cs="Arial"/>
          <w:i/>
          <w:iCs/>
          <w:color w:val="000000" w:themeColor="text1"/>
          <w:sz w:val="20"/>
          <w:szCs w:val="20"/>
        </w:rPr>
        <w:fldChar w:fldCharType="separate"/>
      </w:r>
      <w:r w:rsidRPr="009D30E8">
        <w:rPr>
          <w:rStyle w:val="FootnoteReference"/>
        </w:rPr>
        <w:t>1</w:t>
      </w:r>
      <w:r>
        <w:rPr>
          <w:rFonts w:ascii="Arial" w:hAnsi="Arial" w:cs="Arial"/>
          <w:i/>
          <w:iCs/>
          <w:color w:val="000000" w:themeColor="text1"/>
          <w:sz w:val="20"/>
          <w:szCs w:val="20"/>
        </w:rPr>
        <w:fldChar w:fldCharType="end"/>
      </w:r>
      <w:r w:rsidRPr="009D30E8">
        <w:rPr>
          <w:rFonts w:ascii="Arial" w:hAnsi="Arial" w:cs="Arial"/>
          <w:i/>
          <w:iCs/>
          <w:color w:val="000000" w:themeColor="text1"/>
          <w:sz w:val="20"/>
          <w:szCs w:val="20"/>
        </w:rPr>
        <w:t>, Bernd Romeike</w:t>
      </w:r>
      <w:bookmarkStart w:id="1" w:name="_Ref225927122"/>
      <w:r>
        <w:rPr>
          <w:rStyle w:val="FootnoteReference"/>
          <w:rFonts w:ascii="Arial" w:hAnsi="Arial" w:cs="Arial"/>
          <w:i/>
          <w:iCs/>
          <w:color w:val="000000" w:themeColor="text1"/>
          <w:sz w:val="20"/>
          <w:szCs w:val="20"/>
        </w:rPr>
        <w:footnoteReference w:id="3"/>
      </w:r>
      <w:bookmarkEnd w:id="1"/>
      <w:r w:rsidRPr="009D30E8">
        <w:rPr>
          <w:rFonts w:ascii="Arial" w:hAnsi="Arial" w:cs="Arial"/>
          <w:i/>
          <w:iCs/>
          <w:color w:val="000000" w:themeColor="text1"/>
          <w:sz w:val="20"/>
          <w:szCs w:val="20"/>
        </w:rPr>
        <w:t>, Daniela Endlicher</w:t>
      </w:r>
      <w:r>
        <w:rPr>
          <w:rFonts w:ascii="Arial" w:hAnsi="Arial" w:cs="Arial"/>
          <w:i/>
          <w:iCs/>
          <w:color w:val="000000" w:themeColor="text1"/>
          <w:sz w:val="20"/>
          <w:szCs w:val="20"/>
        </w:rPr>
        <w:fldChar w:fldCharType="begin"/>
      </w:r>
      <w:r w:rsidRPr="009D30E8">
        <w:rPr>
          <w:rFonts w:ascii="Arial" w:hAnsi="Arial" w:cs="Arial"/>
          <w:i/>
          <w:iCs/>
          <w:color w:val="000000" w:themeColor="text1"/>
          <w:sz w:val="20"/>
          <w:szCs w:val="20"/>
        </w:rPr>
        <w:instrText xml:space="preserve"> NOTEREF _Ref225926429 \f \h </w:instrText>
      </w:r>
      <w:r>
        <w:rPr>
          <w:rFonts w:ascii="Arial" w:hAnsi="Arial" w:cs="Arial"/>
          <w:i/>
          <w:iCs/>
          <w:color w:val="000000" w:themeColor="text1"/>
          <w:sz w:val="20"/>
          <w:szCs w:val="20"/>
        </w:rPr>
      </w:r>
      <w:r>
        <w:rPr>
          <w:rFonts w:ascii="Arial" w:hAnsi="Arial" w:cs="Arial"/>
          <w:i/>
          <w:iCs/>
          <w:color w:val="000000" w:themeColor="text1"/>
          <w:sz w:val="20"/>
          <w:szCs w:val="20"/>
        </w:rPr>
        <w:fldChar w:fldCharType="separate"/>
      </w:r>
      <w:r w:rsidRPr="009D30E8">
        <w:rPr>
          <w:rStyle w:val="FootnoteReference"/>
        </w:rPr>
        <w:t>1</w:t>
      </w:r>
      <w:r>
        <w:rPr>
          <w:rFonts w:ascii="Arial" w:hAnsi="Arial" w:cs="Arial"/>
          <w:i/>
          <w:iCs/>
          <w:color w:val="000000" w:themeColor="text1"/>
          <w:sz w:val="20"/>
          <w:szCs w:val="20"/>
        </w:rPr>
        <w:fldChar w:fldCharType="end"/>
      </w:r>
      <w:r w:rsidRPr="009D30E8">
        <w:rPr>
          <w:rFonts w:ascii="Arial" w:hAnsi="Arial" w:cs="Arial"/>
          <w:i/>
          <w:iCs/>
          <w:color w:val="000000" w:themeColor="text1"/>
          <w:sz w:val="20"/>
          <w:szCs w:val="20"/>
        </w:rPr>
        <w:t>, Susanne Schrötter</w:t>
      </w:r>
      <w:r>
        <w:rPr>
          <w:rStyle w:val="FootnoteReference"/>
          <w:rFonts w:ascii="Arial" w:hAnsi="Arial" w:cs="Arial"/>
          <w:i/>
          <w:iCs/>
          <w:color w:val="000000" w:themeColor="text1"/>
          <w:sz w:val="20"/>
          <w:szCs w:val="20"/>
        </w:rPr>
        <w:footnoteReference w:id="4"/>
      </w:r>
      <w:r>
        <w:rPr>
          <w:rStyle w:val="FootnoteReference"/>
          <w:rFonts w:ascii="Arial" w:hAnsi="Arial" w:cs="Arial"/>
          <w:i/>
          <w:iCs/>
          <w:color w:val="000000" w:themeColor="text1"/>
          <w:sz w:val="20"/>
          <w:szCs w:val="20"/>
        </w:rPr>
        <w:footnoteReference w:id="5"/>
      </w:r>
      <w:r w:rsidRPr="009D30E8">
        <w:rPr>
          <w:rFonts w:ascii="Arial" w:hAnsi="Arial" w:cs="Arial"/>
          <w:i/>
          <w:iCs/>
          <w:color w:val="000000" w:themeColor="text1"/>
          <w:sz w:val="20"/>
          <w:szCs w:val="20"/>
        </w:rPr>
        <w:t>, Sandra Schmitz</w:t>
      </w:r>
      <w:r>
        <w:rPr>
          <w:rFonts w:ascii="Arial" w:hAnsi="Arial" w:cs="Arial"/>
          <w:i/>
          <w:iCs/>
          <w:color w:val="000000" w:themeColor="text1"/>
          <w:sz w:val="20"/>
          <w:szCs w:val="20"/>
        </w:rPr>
        <w:fldChar w:fldCharType="begin"/>
      </w:r>
      <w:r w:rsidRPr="009D30E8">
        <w:rPr>
          <w:rFonts w:ascii="Arial" w:hAnsi="Arial" w:cs="Arial"/>
          <w:i/>
          <w:iCs/>
          <w:color w:val="000000" w:themeColor="text1"/>
          <w:sz w:val="20"/>
          <w:szCs w:val="20"/>
        </w:rPr>
        <w:instrText xml:space="preserve"> NOTEREF _Ref225927122 \f \h </w:instrText>
      </w:r>
      <w:r>
        <w:rPr>
          <w:rFonts w:ascii="Arial" w:hAnsi="Arial" w:cs="Arial"/>
          <w:i/>
          <w:iCs/>
          <w:color w:val="000000" w:themeColor="text1"/>
          <w:sz w:val="20"/>
          <w:szCs w:val="20"/>
        </w:rPr>
      </w:r>
      <w:r>
        <w:rPr>
          <w:rFonts w:ascii="Arial" w:hAnsi="Arial" w:cs="Arial"/>
          <w:i/>
          <w:iCs/>
          <w:color w:val="000000" w:themeColor="text1"/>
          <w:sz w:val="20"/>
          <w:szCs w:val="20"/>
        </w:rPr>
        <w:fldChar w:fldCharType="separate"/>
      </w:r>
      <w:r w:rsidRPr="009D30E8">
        <w:rPr>
          <w:rStyle w:val="FootnoteReference"/>
        </w:rPr>
        <w:t>3</w:t>
      </w:r>
      <w:r>
        <w:rPr>
          <w:rFonts w:ascii="Arial" w:hAnsi="Arial" w:cs="Arial"/>
          <w:i/>
          <w:iCs/>
          <w:color w:val="000000" w:themeColor="text1"/>
          <w:sz w:val="20"/>
          <w:szCs w:val="20"/>
        </w:rPr>
        <w:fldChar w:fldCharType="end"/>
      </w:r>
      <w:r w:rsidRPr="009D30E8">
        <w:rPr>
          <w:rFonts w:ascii="Arial" w:hAnsi="Arial" w:cs="Arial"/>
          <w:i/>
          <w:iCs/>
          <w:color w:val="000000" w:themeColor="text1"/>
          <w:sz w:val="20"/>
          <w:szCs w:val="20"/>
        </w:rPr>
        <w:t>, Agnieszka Ciężka</w:t>
      </w:r>
      <w:r>
        <w:rPr>
          <w:rFonts w:ascii="Arial" w:hAnsi="Arial" w:cs="Arial"/>
          <w:i/>
          <w:iCs/>
          <w:color w:val="000000" w:themeColor="text1"/>
          <w:sz w:val="20"/>
          <w:szCs w:val="20"/>
        </w:rPr>
        <w:fldChar w:fldCharType="begin"/>
      </w:r>
      <w:r w:rsidRPr="009D30E8">
        <w:rPr>
          <w:rFonts w:ascii="Arial" w:hAnsi="Arial" w:cs="Arial"/>
          <w:i/>
          <w:iCs/>
          <w:color w:val="000000" w:themeColor="text1"/>
          <w:sz w:val="20"/>
          <w:szCs w:val="20"/>
        </w:rPr>
        <w:instrText xml:space="preserve"> NOTEREF _Ref225926429 \f \h </w:instrText>
      </w:r>
      <w:r>
        <w:rPr>
          <w:rFonts w:ascii="Arial" w:hAnsi="Arial" w:cs="Arial"/>
          <w:i/>
          <w:iCs/>
          <w:color w:val="000000" w:themeColor="text1"/>
          <w:sz w:val="20"/>
          <w:szCs w:val="20"/>
        </w:rPr>
      </w:r>
      <w:r>
        <w:rPr>
          <w:rFonts w:ascii="Arial" w:hAnsi="Arial" w:cs="Arial"/>
          <w:i/>
          <w:iCs/>
          <w:color w:val="000000" w:themeColor="text1"/>
          <w:sz w:val="20"/>
          <w:szCs w:val="20"/>
        </w:rPr>
        <w:fldChar w:fldCharType="separate"/>
      </w:r>
      <w:r w:rsidRPr="009D30E8">
        <w:rPr>
          <w:rStyle w:val="FootnoteReference"/>
        </w:rPr>
        <w:t>1</w:t>
      </w:r>
      <w:r>
        <w:rPr>
          <w:rFonts w:ascii="Arial" w:hAnsi="Arial" w:cs="Arial"/>
          <w:i/>
          <w:iCs/>
          <w:color w:val="000000" w:themeColor="text1"/>
          <w:sz w:val="20"/>
          <w:szCs w:val="20"/>
        </w:rPr>
        <w:fldChar w:fldCharType="end"/>
      </w:r>
    </w:p>
    <w:p w14:paraId="76A445FC" w14:textId="77777777" w:rsidR="000B6B32" w:rsidRPr="00BA387B" w:rsidRDefault="000B6B32" w:rsidP="000B6B32">
      <w:pPr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</w:pPr>
      <w:r w:rsidRPr="00BA387B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 xml:space="preserve">Corresponding author: </w:t>
      </w:r>
      <w:r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 xml:space="preserve">Jonas Töpfer, </w:t>
      </w:r>
      <w:r w:rsidRPr="00BA387B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jonastoepfer@web.de</w:t>
      </w:r>
      <w:r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 xml:space="preserve">, +49 </w:t>
      </w:r>
      <w:r w:rsidRPr="00BA387B">
        <w:rPr>
          <w:rFonts w:ascii="Arial" w:hAnsi="Arial" w:cs="Arial"/>
          <w:i/>
          <w:iCs/>
          <w:color w:val="000000" w:themeColor="text1"/>
          <w:sz w:val="20"/>
          <w:szCs w:val="20"/>
          <w:lang w:val="en-US"/>
        </w:rPr>
        <w:t>381 494 2492</w:t>
      </w:r>
    </w:p>
    <w:p w14:paraId="568A034F" w14:textId="77777777" w:rsidR="00162372" w:rsidRPr="000B6B32" w:rsidRDefault="00162372">
      <w:pPr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0B6B32">
        <w:rPr>
          <w:rFonts w:ascii="Times New Roman" w:hAnsi="Times New Roman" w:cs="Times New Roman"/>
          <w:i/>
          <w:iCs/>
          <w:sz w:val="20"/>
          <w:szCs w:val="20"/>
          <w:lang w:val="en-US"/>
        </w:rPr>
        <w:br w:type="page"/>
      </w:r>
    </w:p>
    <w:p w14:paraId="3F38EB3C" w14:textId="3BF94A27" w:rsidR="0078358F" w:rsidRPr="0078358F" w:rsidRDefault="001072B8" w:rsidP="0078358F">
      <w:pPr>
        <w:pStyle w:val="Caption"/>
        <w:keepNext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lastRenderedPageBreak/>
        <w:t>Appendix</w:t>
      </w:r>
      <w:r w:rsidR="0078358F" w:rsidRPr="0078358F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 xml:space="preserve"> </w:t>
      </w:r>
      <w:r w:rsidR="0078358F" w:rsidRPr="0078358F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fldChar w:fldCharType="begin"/>
      </w:r>
      <w:r w:rsidR="0078358F" w:rsidRPr="0078358F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instrText xml:space="preserve"> SEQ Table \* ARABIC </w:instrText>
      </w:r>
      <w:r w:rsidR="0078358F" w:rsidRPr="0078358F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fldChar w:fldCharType="separate"/>
      </w:r>
      <w:r w:rsidR="0078358F" w:rsidRPr="0078358F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>1</w:t>
      </w:r>
      <w:r w:rsidR="0078358F" w:rsidRPr="0078358F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fldChar w:fldCharType="end"/>
      </w:r>
      <w:r w:rsidR="0078358F" w:rsidRPr="0078358F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 xml:space="preserve"> Description of NKLM learning </w:t>
      </w:r>
      <w:r w:rsidR="00F76FF5" w:rsidRPr="0078358F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objectives</w:t>
      </w:r>
    </w:p>
    <w:tbl>
      <w:tblPr>
        <w:tblW w:w="8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7230"/>
      </w:tblGrid>
      <w:tr w:rsidR="00CE3649" w:rsidRPr="0078358F" w14:paraId="61231CF5" w14:textId="77777777" w:rsidTr="001072B8">
        <w:trPr>
          <w:trHeight w:val="403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6779FF57" w14:textId="42790A37" w:rsidR="00CE3649" w:rsidRPr="0078358F" w:rsidRDefault="00CE3649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ID</w:t>
            </w:r>
          </w:p>
        </w:tc>
        <w:tc>
          <w:tcPr>
            <w:tcW w:w="7230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noWrap/>
            <w:vAlign w:val="center"/>
            <w:hideMark/>
          </w:tcPr>
          <w:p w14:paraId="4E45A6F6" w14:textId="70B38B57" w:rsidR="00CE3649" w:rsidRPr="0078358F" w:rsidRDefault="00CE3649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Competency/Learning objective</w:t>
            </w:r>
          </w:p>
        </w:tc>
      </w:tr>
      <w:tr w:rsidR="00CE3649" w:rsidRPr="007365F5" w14:paraId="741C0DE9" w14:textId="77777777" w:rsidTr="00CE3649">
        <w:trPr>
          <w:trHeight w:val="650"/>
        </w:trPr>
        <w:tc>
          <w:tcPr>
            <w:tcW w:w="1701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ACAEF" w14:textId="17CE8B86" w:rsidR="00CE3649" w:rsidRPr="0078358F" w:rsidRDefault="00CE3649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VIII.2-01</w:t>
            </w:r>
          </w:p>
        </w:tc>
        <w:tc>
          <w:tcPr>
            <w:tcW w:w="7230" w:type="dxa"/>
            <w:tcBorders>
              <w:top w:val="single" w:sz="1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7E3D3" w14:textId="2F682E8F" w:rsidR="00CE3649" w:rsidRPr="0078358F" w:rsidRDefault="00CE3649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Graduates recognize the key role of communication skills in the medical profession and healthcare, and understand that communication is a skill that can be learned.</w:t>
            </w:r>
          </w:p>
        </w:tc>
      </w:tr>
      <w:tr w:rsidR="00CE3649" w:rsidRPr="007365F5" w14:paraId="63FDD538" w14:textId="77777777" w:rsidTr="00CE3649">
        <w:trPr>
          <w:trHeight w:val="45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E9203" w14:textId="4F4585A7" w:rsidR="00CE3649" w:rsidRPr="0078358F" w:rsidRDefault="00CE3649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VIII.2-01.1.1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46C5C" w14:textId="437ACE80" w:rsidR="00CE3649" w:rsidRPr="0078358F" w:rsidRDefault="00CE3649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Explain and reflect on general theoretical principles of communication.</w:t>
            </w:r>
          </w:p>
        </w:tc>
      </w:tr>
      <w:tr w:rsidR="00CE3649" w:rsidRPr="007365F5" w14:paraId="0ED5F4BE" w14:textId="77777777" w:rsidTr="00CE3649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9B058" w14:textId="5A607023" w:rsidR="00CE3649" w:rsidRPr="0078358F" w:rsidRDefault="00CE3649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VIII.2-02.1.1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EE221" w14:textId="341CA266" w:rsidR="00CE3649" w:rsidRPr="0078358F" w:rsidRDefault="00CE3649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Greet patients, introduce themselves by name and position, and begin with opening questions that create a space for patients to talk.</w:t>
            </w:r>
          </w:p>
        </w:tc>
      </w:tr>
      <w:tr w:rsidR="00CE3649" w:rsidRPr="007365F5" w14:paraId="068384E0" w14:textId="77777777" w:rsidTr="00CE3649">
        <w:trPr>
          <w:trHeight w:val="91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ACE1A" w14:textId="483146E3" w:rsidR="00CE3649" w:rsidRPr="0078358F" w:rsidRDefault="00CE3649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VIII.2-02.1.2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19450" w14:textId="0EF65269" w:rsidR="00CE3649" w:rsidRPr="0078358F" w:rsidRDefault="00CE3649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Adopt a patient-centered (congruent, accepting, and empathetic) attitude, communicate accordingly, and maintain a professional balance between closeness and distance.</w:t>
            </w:r>
          </w:p>
        </w:tc>
      </w:tr>
      <w:tr w:rsidR="00CE3649" w:rsidRPr="007365F5" w14:paraId="7E849E92" w14:textId="77777777" w:rsidTr="00CE3649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D479C" w14:textId="55078998" w:rsidR="00CE3649" w:rsidRPr="0078358F" w:rsidRDefault="00CE3649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VIII.2-02.1.6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11B65" w14:textId="1E6AA85B" w:rsidR="00CE3649" w:rsidRPr="0078358F" w:rsidRDefault="00CE3649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Apply techniques for systematic and structured information gathering.</w:t>
            </w:r>
          </w:p>
        </w:tc>
      </w:tr>
      <w:tr w:rsidR="00CE3649" w:rsidRPr="0078358F" w14:paraId="74093B56" w14:textId="77777777" w:rsidTr="00CE3649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43FAD" w14:textId="46CE986D" w:rsidR="00CE3649" w:rsidRPr="0078358F" w:rsidRDefault="0078358F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VIII.2-02.2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B9468" w14:textId="5789F609" w:rsidR="00CE3649" w:rsidRPr="0078358F" w:rsidRDefault="0078358F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Structuring the conversation transparently from start to finish. They can ...</w:t>
            </w:r>
          </w:p>
        </w:tc>
      </w:tr>
      <w:tr w:rsidR="00CE3649" w:rsidRPr="007365F5" w14:paraId="1E739A77" w14:textId="77777777" w:rsidTr="00CE3649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63F1D" w14:textId="7D841BE8" w:rsidR="00CE3649" w:rsidRPr="0078358F" w:rsidRDefault="0078358F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VIII.2-02.2.1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01287" w14:textId="379E8A9A" w:rsidR="00CE3649" w:rsidRPr="0078358F" w:rsidRDefault="0078358F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Employ time management tailored to different conversation situations and requirements</w:t>
            </w:r>
          </w:p>
        </w:tc>
      </w:tr>
      <w:tr w:rsidR="00CE3649" w:rsidRPr="007365F5" w14:paraId="0C3F6A0E" w14:textId="77777777" w:rsidTr="001072B8">
        <w:trPr>
          <w:trHeight w:val="69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97D67" w14:textId="07C50851" w:rsidR="00CE3649" w:rsidRPr="0078358F" w:rsidRDefault="0078358F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VIII.2-02.2.2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CBEC6" w14:textId="6FA5719D" w:rsidR="00CE3649" w:rsidRPr="0078358F" w:rsidRDefault="0078358F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Set the agenda for the consultation, taking into account the concerns of both the physician and the patient, and communicate this accordingly.</w:t>
            </w:r>
          </w:p>
        </w:tc>
      </w:tr>
      <w:tr w:rsidR="00CE3649" w:rsidRPr="007365F5" w14:paraId="5BD6E347" w14:textId="77777777" w:rsidTr="00CE3649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4506F" w14:textId="3236836A" w:rsidR="00CE3649" w:rsidRPr="0078358F" w:rsidRDefault="0078358F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VIII.2-02.2.3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E98C1" w14:textId="45DC9988" w:rsidR="00CE3649" w:rsidRPr="0078358F" w:rsidRDefault="0078358F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Apply structured conversation techniques and use particular questioning techniques depending on the task at hand.</w:t>
            </w:r>
          </w:p>
        </w:tc>
      </w:tr>
      <w:tr w:rsidR="00CE3649" w:rsidRPr="007365F5" w14:paraId="41C3492E" w14:textId="77777777" w:rsidTr="001072B8">
        <w:trPr>
          <w:trHeight w:val="92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9F95A" w14:textId="7D0477E0" w:rsidR="00CE3649" w:rsidRPr="0078358F" w:rsidRDefault="0078358F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VIII.2-02.2.4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FD461" w14:textId="11DC4AE6" w:rsidR="00CE3649" w:rsidRPr="0078358F" w:rsidRDefault="0078358F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Recognize and control the focus during the conversation and manage an appropriate balance between physician-centered and patient-centered communication.</w:t>
            </w:r>
          </w:p>
        </w:tc>
      </w:tr>
      <w:tr w:rsidR="00CE3649" w:rsidRPr="007365F5" w14:paraId="0910DE3E" w14:textId="77777777" w:rsidTr="0078358F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B4F89" w14:textId="730EBC0B" w:rsidR="00CE3649" w:rsidRPr="0078358F" w:rsidRDefault="0078358F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VIII.2-02.3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73534" w14:textId="4E72EE0E" w:rsidR="00CE3649" w:rsidRPr="0078358F" w:rsidRDefault="0078358F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They find an appropriate way to start the conversation and create a conversation situation that is appropriate to the circumstances.</w:t>
            </w:r>
          </w:p>
        </w:tc>
      </w:tr>
      <w:tr w:rsidR="0078358F" w:rsidRPr="0078358F" w14:paraId="0074FAB1" w14:textId="77777777" w:rsidTr="0078358F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E8A0EC" w14:textId="7B75CC84" w:rsidR="0078358F" w:rsidRPr="0078358F" w:rsidRDefault="0078358F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VIII.2-02.5.1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22EA9" w14:textId="652AFDEC" w:rsidR="0078358F" w:rsidRPr="0078358F" w:rsidRDefault="0078358F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Respectfully assess patients' understanding.</w:t>
            </w:r>
          </w:p>
        </w:tc>
      </w:tr>
      <w:tr w:rsidR="0078358F" w:rsidRPr="007365F5" w14:paraId="737AAF72" w14:textId="77777777" w:rsidTr="001072B8">
        <w:trPr>
          <w:trHeight w:val="103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EA6BD" w14:textId="1F7F8B23" w:rsidR="0078358F" w:rsidRPr="0078358F" w:rsidRDefault="0078358F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VIII.2-02.5.3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0F8553" w14:textId="7DAD5E89" w:rsidR="0078358F" w:rsidRPr="0078358F" w:rsidRDefault="0078358F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Be guided by the needs and resources of patients with regard to autonomy and responsibility, the amount and completeness of information, and respect their right to refuse information, especially when communicating a diagnosis.</w:t>
            </w:r>
          </w:p>
        </w:tc>
      </w:tr>
      <w:tr w:rsidR="0078358F" w:rsidRPr="0078358F" w14:paraId="5EADA3D0" w14:textId="77777777" w:rsidTr="001072B8">
        <w:trPr>
          <w:trHeight w:val="1136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6719CA" w14:textId="187D4AD9" w:rsidR="0078358F" w:rsidRPr="0078358F" w:rsidRDefault="0078358F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VIII.2-02.6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551FB0" w14:textId="4FC0187A" w:rsidR="0078358F" w:rsidRPr="0078358F" w:rsidRDefault="0078358F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They shape decision-making processes together with patients or their representatives, taking into account the prerequisites and possible consequences of forming a judgment (participatory decision-making/shared decision making). They can…</w:t>
            </w:r>
          </w:p>
        </w:tc>
      </w:tr>
      <w:tr w:rsidR="0078358F" w:rsidRPr="007365F5" w14:paraId="19FAC77E" w14:textId="77777777" w:rsidTr="001072B8">
        <w:trPr>
          <w:trHeight w:val="57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605D21" w14:textId="0D5A2F54" w:rsidR="0078358F" w:rsidRPr="0078358F" w:rsidRDefault="0078358F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VIII.2-02.7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E18D68" w14:textId="4603E0F0" w:rsidR="0078358F" w:rsidRPr="0078358F" w:rsidRDefault="0078358F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They are able to plan subsequent steps, particularly diagnostic and therapeutic ones, and to conclude a patient consultation.</w:t>
            </w:r>
          </w:p>
        </w:tc>
      </w:tr>
      <w:tr w:rsidR="0078358F" w:rsidRPr="0078358F" w14:paraId="7DE481A7" w14:textId="77777777" w:rsidTr="001072B8">
        <w:trPr>
          <w:trHeight w:val="62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ACD23E" w14:textId="5166067C" w:rsidR="0078358F" w:rsidRPr="0078358F" w:rsidRDefault="0078358F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VIII.2-06.3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0A8D89" w14:textId="0E2D5151" w:rsidR="0078358F" w:rsidRPr="0078358F" w:rsidRDefault="0078358F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They are familiar with and reflect on the use of medical information technologies. They can...</w:t>
            </w:r>
          </w:p>
        </w:tc>
      </w:tr>
      <w:tr w:rsidR="0078358F" w:rsidRPr="007365F5" w14:paraId="53D8EFC9" w14:textId="77777777" w:rsidTr="0078358F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C0ACFF" w14:textId="736F17F3" w:rsidR="0078358F" w:rsidRPr="0078358F" w:rsidRDefault="0078358F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VIII.2-06.3.1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B99012" w14:textId="4EC8D82B" w:rsidR="0078358F" w:rsidRPr="0078358F" w:rsidRDefault="0078358F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Appropriately incorporate digital media into physician-patient conversations.</w:t>
            </w:r>
          </w:p>
        </w:tc>
      </w:tr>
      <w:tr w:rsidR="0078358F" w:rsidRPr="007365F5" w14:paraId="769C964F" w14:textId="77777777" w:rsidTr="0078358F">
        <w:trPr>
          <w:trHeight w:val="459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A49CB" w14:textId="5A778965" w:rsidR="0078358F" w:rsidRPr="0078358F" w:rsidRDefault="0078358F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VIII.2-06.3.2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FDC5DD" w14:textId="3C04D86B" w:rsidR="0078358F" w:rsidRPr="0078358F" w:rsidRDefault="0078358F" w:rsidP="00563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</w:pPr>
            <w:r w:rsidRPr="0078358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val="en-US" w:eastAsia="de-DE"/>
                <w14:ligatures w14:val="none"/>
              </w:rPr>
              <w:t>Recognize and reflect on the effects of digital applications on physician-patient conversations and the physician-patient relationship.</w:t>
            </w:r>
          </w:p>
        </w:tc>
      </w:tr>
    </w:tbl>
    <w:p w14:paraId="71DE21B8" w14:textId="77777777" w:rsidR="00CE3649" w:rsidRPr="0078358F" w:rsidRDefault="00CE3649" w:rsidP="001F0FAF">
      <w:pPr>
        <w:pStyle w:val="NoSpacing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0396ABC8" w14:textId="77777777" w:rsidR="00CE3649" w:rsidRPr="0078358F" w:rsidRDefault="00CE3649" w:rsidP="001F0FAF">
      <w:pPr>
        <w:pStyle w:val="NoSpacing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41A8B323" w14:textId="092DE6EC" w:rsidR="00037496" w:rsidRPr="0078358F" w:rsidRDefault="00037496">
      <w:pPr>
        <w:rPr>
          <w:lang w:val="en-US"/>
        </w:rPr>
      </w:pPr>
    </w:p>
    <w:sectPr w:rsidR="00037496" w:rsidRPr="0078358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ADE77" w14:textId="77777777" w:rsidR="00D26076" w:rsidRDefault="00D26076" w:rsidP="000B6B32">
      <w:pPr>
        <w:spacing w:after="0" w:line="240" w:lineRule="auto"/>
      </w:pPr>
      <w:r>
        <w:separator/>
      </w:r>
    </w:p>
  </w:endnote>
  <w:endnote w:type="continuationSeparator" w:id="0">
    <w:p w14:paraId="0F79ADB1" w14:textId="77777777" w:rsidR="00D26076" w:rsidRDefault="00D26076" w:rsidP="000B6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FC348" w14:textId="77777777" w:rsidR="00D26076" w:rsidRDefault="00D26076" w:rsidP="000B6B32">
      <w:pPr>
        <w:spacing w:after="0" w:line="240" w:lineRule="auto"/>
      </w:pPr>
      <w:r>
        <w:separator/>
      </w:r>
    </w:p>
  </w:footnote>
  <w:footnote w:type="continuationSeparator" w:id="0">
    <w:p w14:paraId="45287565" w14:textId="77777777" w:rsidR="00D26076" w:rsidRDefault="00D26076" w:rsidP="000B6B32">
      <w:pPr>
        <w:spacing w:after="0" w:line="240" w:lineRule="auto"/>
      </w:pPr>
      <w:r>
        <w:continuationSeparator/>
      </w:r>
    </w:p>
  </w:footnote>
  <w:footnote w:id="1">
    <w:p w14:paraId="171DBA4D" w14:textId="77777777" w:rsidR="000B6B32" w:rsidRPr="005A29A4" w:rsidRDefault="000B6B32" w:rsidP="000B6B32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5A29A4">
        <w:rPr>
          <w:lang w:val="en-US"/>
        </w:rPr>
        <w:t xml:space="preserve"> Institute of General Practice, </w:t>
      </w:r>
      <w:r>
        <w:rPr>
          <w:lang w:val="en-US"/>
        </w:rPr>
        <w:t xml:space="preserve">Rostock </w:t>
      </w:r>
      <w:r w:rsidRPr="005A29A4">
        <w:rPr>
          <w:lang w:val="en-US"/>
        </w:rPr>
        <w:t xml:space="preserve">University </w:t>
      </w:r>
      <w:r>
        <w:rPr>
          <w:lang w:val="en-US"/>
        </w:rPr>
        <w:t xml:space="preserve">Medical Center, </w:t>
      </w:r>
      <w:proofErr w:type="spellStart"/>
      <w:r>
        <w:rPr>
          <w:lang w:val="en-US"/>
        </w:rPr>
        <w:t>Doberaner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Straße</w:t>
      </w:r>
      <w:proofErr w:type="spellEnd"/>
      <w:r>
        <w:rPr>
          <w:lang w:val="en-US"/>
        </w:rPr>
        <w:t xml:space="preserve"> 142, 18057 Rostock, Germany.</w:t>
      </w:r>
    </w:p>
  </w:footnote>
  <w:footnote w:id="2">
    <w:p w14:paraId="6A80E912" w14:textId="77777777" w:rsidR="000B6B32" w:rsidRPr="005A29A4" w:rsidRDefault="000B6B32" w:rsidP="000B6B32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5A29A4">
        <w:rPr>
          <w:lang w:val="en-US"/>
        </w:rPr>
        <w:t xml:space="preserve"> Institute of Anatomy, Rostock University Me</w:t>
      </w:r>
      <w:r>
        <w:rPr>
          <w:lang w:val="en-US"/>
        </w:rPr>
        <w:t xml:space="preserve">dical Center, </w:t>
      </w:r>
      <w:proofErr w:type="spellStart"/>
      <w:r>
        <w:rPr>
          <w:lang w:val="en-US"/>
        </w:rPr>
        <w:t>Gertrudenstraße</w:t>
      </w:r>
      <w:proofErr w:type="spellEnd"/>
      <w:r>
        <w:rPr>
          <w:lang w:val="en-US"/>
        </w:rPr>
        <w:t xml:space="preserve"> 8, 18057 Rostock, Germany.</w:t>
      </w:r>
    </w:p>
  </w:footnote>
  <w:footnote w:id="3">
    <w:p w14:paraId="6E7A5438" w14:textId="77777777" w:rsidR="000B6B32" w:rsidRPr="005A29A4" w:rsidRDefault="000B6B32" w:rsidP="000B6B32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5A29A4">
        <w:rPr>
          <w:lang w:val="en-US"/>
        </w:rPr>
        <w:t xml:space="preserve"> Dean’s Office for Student Affairs, Medical Education, </w:t>
      </w:r>
      <w:r>
        <w:rPr>
          <w:lang w:val="en-US"/>
        </w:rPr>
        <w:t xml:space="preserve">Rostock University Medical Center, </w:t>
      </w:r>
      <w:r w:rsidRPr="005A29A4">
        <w:rPr>
          <w:lang w:val="en-US"/>
        </w:rPr>
        <w:t>Ernst-</w:t>
      </w:r>
      <w:proofErr w:type="spellStart"/>
      <w:r w:rsidRPr="005A29A4">
        <w:rPr>
          <w:lang w:val="en-US"/>
        </w:rPr>
        <w:t>Heydemann</w:t>
      </w:r>
      <w:proofErr w:type="spellEnd"/>
      <w:r w:rsidRPr="005A29A4">
        <w:rPr>
          <w:lang w:val="en-US"/>
        </w:rPr>
        <w:t>-Strasse 8,</w:t>
      </w:r>
      <w:r>
        <w:rPr>
          <w:lang w:val="en-US"/>
        </w:rPr>
        <w:t xml:space="preserve"> </w:t>
      </w:r>
      <w:r w:rsidRPr="005A29A4">
        <w:rPr>
          <w:lang w:val="en-US"/>
        </w:rPr>
        <w:t>18057</w:t>
      </w:r>
      <w:r>
        <w:rPr>
          <w:lang w:val="en-US"/>
        </w:rPr>
        <w:t xml:space="preserve"> Rostock</w:t>
      </w:r>
      <w:r w:rsidRPr="005A29A4">
        <w:rPr>
          <w:lang w:val="en-US"/>
        </w:rPr>
        <w:t>, Germany</w:t>
      </w:r>
      <w:r>
        <w:rPr>
          <w:lang w:val="en-US"/>
        </w:rPr>
        <w:t>.</w:t>
      </w:r>
    </w:p>
  </w:footnote>
  <w:footnote w:id="4">
    <w:p w14:paraId="65FDCBC6" w14:textId="77777777" w:rsidR="000B6B32" w:rsidRPr="009A0A5E" w:rsidRDefault="000B6B32" w:rsidP="000B6B32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9A0A5E">
        <w:rPr>
          <w:lang w:val="en-US"/>
        </w:rPr>
        <w:t xml:space="preserve"> Institute </w:t>
      </w:r>
      <w:r>
        <w:rPr>
          <w:lang w:val="en-US"/>
        </w:rPr>
        <w:t>of</w:t>
      </w:r>
      <w:r w:rsidRPr="009A0A5E">
        <w:rPr>
          <w:lang w:val="en-US"/>
        </w:rPr>
        <w:t xml:space="preserve"> Medical Psychology and Medical Sociology</w:t>
      </w:r>
      <w:r>
        <w:rPr>
          <w:lang w:val="en-US"/>
        </w:rPr>
        <w:t xml:space="preserve">, Rostock University Medical Center, </w:t>
      </w:r>
      <w:proofErr w:type="spellStart"/>
      <w:r w:rsidRPr="009A0A5E">
        <w:rPr>
          <w:lang w:val="en-US"/>
        </w:rPr>
        <w:t>Gehlsheimer</w:t>
      </w:r>
      <w:proofErr w:type="spellEnd"/>
      <w:r w:rsidRPr="009A0A5E">
        <w:rPr>
          <w:lang w:val="en-US"/>
        </w:rPr>
        <w:t xml:space="preserve"> Str. 20</w:t>
      </w:r>
      <w:r>
        <w:rPr>
          <w:lang w:val="en-US"/>
        </w:rPr>
        <w:t>, 18057 Rostock, Germany.</w:t>
      </w:r>
    </w:p>
  </w:footnote>
  <w:footnote w:id="5">
    <w:p w14:paraId="547F4644" w14:textId="77777777" w:rsidR="000B6B32" w:rsidRPr="005A29A4" w:rsidRDefault="000B6B32" w:rsidP="000B6B32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5A29A4">
        <w:rPr>
          <w:lang w:val="en-US"/>
        </w:rPr>
        <w:t xml:space="preserve"> Dean's Office for Midwifery Studies, Rostock University Medical </w:t>
      </w:r>
      <w:r>
        <w:rPr>
          <w:lang w:val="en-US"/>
        </w:rPr>
        <w:t xml:space="preserve">Center, </w:t>
      </w:r>
      <w:r w:rsidRPr="005A29A4">
        <w:rPr>
          <w:lang w:val="en-US"/>
        </w:rPr>
        <w:t>Ernst-</w:t>
      </w:r>
      <w:proofErr w:type="spellStart"/>
      <w:r w:rsidRPr="005A29A4">
        <w:rPr>
          <w:lang w:val="en-US"/>
        </w:rPr>
        <w:t>Heydemann</w:t>
      </w:r>
      <w:proofErr w:type="spellEnd"/>
      <w:r w:rsidRPr="005A29A4">
        <w:rPr>
          <w:lang w:val="en-US"/>
        </w:rPr>
        <w:t xml:space="preserve">-Str. </w:t>
      </w:r>
      <w:r w:rsidRPr="009A0A5E">
        <w:rPr>
          <w:lang w:val="en-US"/>
        </w:rPr>
        <w:t>8, 18057 Rostock, Germany</w:t>
      </w:r>
      <w:r>
        <w:rPr>
          <w:lang w:val="en-US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613"/>
    <w:rsid w:val="00037496"/>
    <w:rsid w:val="000B6B32"/>
    <w:rsid w:val="0010569B"/>
    <w:rsid w:val="001072B8"/>
    <w:rsid w:val="00162372"/>
    <w:rsid w:val="001A642D"/>
    <w:rsid w:val="001F0FAF"/>
    <w:rsid w:val="00436455"/>
    <w:rsid w:val="00654A28"/>
    <w:rsid w:val="007365F5"/>
    <w:rsid w:val="0078358F"/>
    <w:rsid w:val="009E6B4A"/>
    <w:rsid w:val="00AE2EBF"/>
    <w:rsid w:val="00B31A10"/>
    <w:rsid w:val="00B57B72"/>
    <w:rsid w:val="00B84847"/>
    <w:rsid w:val="00B9598D"/>
    <w:rsid w:val="00CE3649"/>
    <w:rsid w:val="00D26076"/>
    <w:rsid w:val="00D47C5F"/>
    <w:rsid w:val="00EB2697"/>
    <w:rsid w:val="00F76FF5"/>
    <w:rsid w:val="00FD0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D6F75E"/>
  <w15:chartTrackingRefBased/>
  <w15:docId w15:val="{8295F7EC-891F-A344-A2F8-D1A019360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06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06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06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06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6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06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06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06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06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6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06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6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61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61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6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6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6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6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06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06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06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06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06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06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06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061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6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61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0613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1F0FAF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78358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6B3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6B3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B6B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2720</Characters>
  <Application>Microsoft Office Word</Application>
  <DocSecurity>0</DocSecurity>
  <Lines>80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Töpfer, Jonas</dc:creator>
  <cp:keywords/>
  <dc:description/>
  <cp:lastModifiedBy>Jonas Töpfer</cp:lastModifiedBy>
  <cp:revision>7</cp:revision>
  <dcterms:created xsi:type="dcterms:W3CDTF">2026-03-16T09:28:00Z</dcterms:created>
  <dcterms:modified xsi:type="dcterms:W3CDTF">2026-04-10T10:35:00Z</dcterms:modified>
</cp:coreProperties>
</file>