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100" w:before="360"/>
        <w:ind/>
        <w:rPr/>
      </w:pPr>
      <w:r>
        <w:rPr>
          <w:b/>
          <w:bCs/>
          <w:sz w:val="20"/>
          <w:szCs w:val="20"/>
        </w:rPr>
        <w:t xml:space="preserve">Table </w:t>
      </w:r>
      <w:r>
        <w:rPr>
          <w:b/>
          <w:bCs/>
          <w:sz w:val="20"/>
          <w:szCs w:val="20"/>
          <w:lang w:val="en-CA"/>
        </w:rPr>
        <w:t xml:space="preserve">1</w:t>
      </w:r>
      <w:r>
        <w:rPr>
          <w:b/>
          <w:bCs/>
          <w:sz w:val="20"/>
          <w:szCs w:val="20"/>
        </w:rPr>
        <w:t xml:space="preserve">. Self-Rated Knowledge Levels Across AYA Palliative Care Competency Areas</w:t>
      </w:r>
      <w:r/>
    </w:p>
    <w:p>
      <w:pPr>
        <w:pBdr/>
        <w:spacing/>
        <w:ind/>
        <w:rPr/>
      </w:pPr>
      <w:r/>
      <w:r/>
    </w:p>
    <w:tbl>
      <w:tblPr>
        <w:tblW w:w="10182" w:type="dxa"/>
        <w:tblCellMar>
          <w:left w:w="10" w:type="dxa"/>
          <w:right w:w="1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1664"/>
        <w:gridCol w:w="1417"/>
        <w:gridCol w:w="1701"/>
      </w:tblGrid>
      <w:tr>
        <w:trPr>
          <w:tblHeader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b/>
                <w:bCs/>
                <w:sz w:val="20"/>
                <w:szCs w:val="20"/>
              </w:rPr>
              <w:t xml:space="preserve">Competency Area</w:t>
            </w:r>
            <w:r/>
          </w:p>
        </w:tc>
        <w:tc>
          <w:tcPr>
            <w:gridSpan w:val="3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78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vertAlign w:val="superscript"/>
              </w:rPr>
            </w:pPr>
            <w:r>
              <w:rPr>
                <w:b/>
                <w:bCs/>
                <w:sz w:val="20"/>
                <w:szCs w:val="20"/>
              </w:rPr>
              <w:t xml:space="preserve">Knowledge level, n (%)</w:t>
            </w:r>
            <w:r>
              <w:rPr>
                <w:b/>
                <w:bCs/>
                <w:sz w:val="20"/>
                <w:szCs w:val="20"/>
                <w:vertAlign w:val="superscript"/>
                <w:lang w:val="en-CA"/>
              </w:rPr>
              <w:t xml:space="preserve">*</w:t>
            </w:r>
            <w:r>
              <w:rPr>
                <w:vertAlign w:val="superscript"/>
              </w:rPr>
            </w:r>
          </w:p>
        </w:tc>
      </w:tr>
      <w:tr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</w:rPr>
              <w:t xml:space="preserve">High</w:t>
            </w:r>
            <w:r/>
          </w:p>
          <w:p>
            <w:pPr>
              <w:pBdr/>
              <w:spacing/>
              <w:ind/>
              <w:jc w:val="center"/>
              <w:rPr/>
            </w:pPr>
            <w:r>
              <w:rPr>
                <w:b/>
                <w:bCs/>
                <w:sz w:val="20"/>
                <w:szCs w:val="20"/>
                <w:highlight w:val="none"/>
                <w:lang w:val="en-CA"/>
              </w:rPr>
              <w:t xml:space="preserve">(Good/Very good)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</w:rPr>
              <w:t xml:space="preserve">Moderate</w:t>
            </w:r>
            <w:r/>
          </w:p>
          <w:p>
            <w:pPr>
              <w:pBdr/>
              <w:spacing/>
              <w:ind/>
              <w:jc w:val="center"/>
              <w:rPr/>
            </w:pPr>
            <w:r>
              <w:rPr>
                <w:b/>
                <w:bCs/>
                <w:sz w:val="20"/>
                <w:szCs w:val="20"/>
                <w:highlight w:val="none"/>
                <w:lang w:val="en-CA"/>
              </w:rPr>
              <w:t xml:space="preserve">(Fair)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</w:rPr>
              <w:t xml:space="preserve">Low</w:t>
            </w:r>
            <w:r/>
          </w:p>
          <w:p>
            <w:pPr>
              <w:pBdr/>
              <w:spacing/>
              <w:ind/>
              <w:jc w:val="center"/>
              <w:rPr/>
            </w:pPr>
            <w:r>
              <w:rPr>
                <w:b/>
                <w:bCs/>
                <w:sz w:val="20"/>
                <w:szCs w:val="20"/>
                <w:highlight w:val="none"/>
                <w:lang w:val="en-CA"/>
              </w:rPr>
              <w:t xml:space="preserve">(Poor/Very poor)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Pain management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44 (84.6)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6 (11.5)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(3.8)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Management of respiratory symptoms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45 (84.9)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6 (11.3)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 (3.8)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Management of gastro-intestinal symptoms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46 (86.8)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6 (11.3)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 (1.9)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Management of psychological symptoms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22 (43.1)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19 (37.3)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10 (19.6)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Navigating social support resources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14 (26.9)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18 (34.6)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20 (38.5)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Exploring sexual health and fertility concerns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6 (12)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13 (26)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31 (62)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Discussing spiritual care needs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27 (55.1)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15 (30.6)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7 (14.3)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Discussing financial hardships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18 (35.3)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15 (29.4)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18 (35.3)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Process of care transition from pediatric to adult care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7 (13.7)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9 (17.6)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35 (68.6)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Goals of care discussions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27 (52.9)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19 (37.3)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5 (9.8)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Managing complex ethical issues (e.g. patient autonomy </w:t>
            </w:r>
            <w:r>
              <w:rPr>
                <w:sz w:val="20"/>
                <w:szCs w:val="20"/>
              </w:rPr>
              <w:t xml:space="preserve">and decision making</w:t>
            </w:r>
            <w:r>
              <w:rPr>
                <w:sz w:val="20"/>
                <w:szCs w:val="20"/>
              </w:rPr>
              <w:t xml:space="preserve">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22 (44.9)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15 (30.6)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12 (24.5)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Transition of location of care discussions</w:t>
            </w:r>
            <w:r>
              <w:rPr>
                <w:sz w:val="20"/>
                <w:szCs w:val="20"/>
                <w:lang w:val="en-CA"/>
              </w:rPr>
              <w:t xml:space="preserve"> </w:t>
            </w:r>
            <w:r>
              <w:rPr>
                <w:sz w:val="20"/>
                <w:szCs w:val="20"/>
                <w:lang w:val="en-CA"/>
              </w:rPr>
              <w:t xml:space="preserve">(e.g. discharge plans after hospital admission)</w:t>
            </w:r>
            <w:r>
              <w:rPr>
                <w:sz w:val="20"/>
                <w:szCs w:val="20"/>
                <w:lang w:val="en-CA"/>
              </w:rPr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36 (72)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10 (20)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4 (8)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Discussing end-of-life care with patients and caregivers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33 (67.3)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13 (26.5)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 (6.1)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Providing end-of-life care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40 (80)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9 (18)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 (2)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Providing caregiver support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34 (69.4)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10 (20.4)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5 (10.2)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Grief and bereavement support to caregivers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25 (50)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16 (32)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9 (18)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Grief and bereavement resources for patients' children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16 (32)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21 (42)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13 (26)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Providing home palliative care to AYA patients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18 (36)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17 (34)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15 (30)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Providing palliative care to AYAs in outpatient clinics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26 (52)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11 (22)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13 (26)</w:t>
            </w:r>
            <w:r/>
          </w:p>
        </w:tc>
      </w:tr>
      <w:tr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40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Providing palliative care to AYAs in inpatient settings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31 (62)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11 (22)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8 (16)</w:t>
            </w:r>
            <w:r/>
          </w:p>
        </w:tc>
      </w:tr>
    </w:tbl>
    <w:p>
      <w:pPr>
        <w:pStyle w:val="1_1651"/>
        <w:pBdr/>
        <w:spacing/>
        <w:ind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vertAlign w:val="superscript"/>
          <w14:ligatures w14:val="none"/>
        </w:rPr>
        <w:t xml:space="preserve">*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14:ligatures w14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  <w14:ligatures w14:val="none"/>
        </w:rPr>
        <w:t xml:space="preserve">Percentages are based on the total number of eligible answers in each question. Item-specific denominator ranging from n=4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  <w:lang w:val="en-CA"/>
          <w14:ligatures w14:val="none"/>
        </w:rPr>
        <w:t xml:space="preserve">9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  <w14:ligatures w14:val="none"/>
        </w:rPr>
        <w:t xml:space="preserve"> to n=5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  <w:lang w:val="en-CA"/>
          <w14:ligatures w14:val="none"/>
        </w:rPr>
        <w:t xml:space="preserve">3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  <w14:ligatures w14:val="none"/>
        </w:rPr>
        <w:t xml:space="preserve"> due to missing data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highlight w:val="none"/>
          <w14:ligatures w14:val="none"/>
        </w:rPr>
      </w:r>
    </w:p>
    <w:p>
      <w:pPr>
        <w:pBdr/>
        <w:spacing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Bdr/>
        <w:spacing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Bdr/>
        <w:spacing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Bdr/>
        <w:spacing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Bdr/>
        <w:spacing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Bdr/>
        <w:spacing/>
        <w:ind/>
        <w:rPr>
          <w:lang w:val="en-US"/>
        </w:rPr>
      </w:pPr>
      <w:r>
        <w:rPr>
          <w:b/>
          <w:bCs/>
          <w:sz w:val="20"/>
          <w:szCs w:val="20"/>
        </w:rPr>
        <w:t xml:space="preserve">Table </w:t>
      </w:r>
      <w:r>
        <w:rPr>
          <w:b/>
          <w:bCs/>
          <w:sz w:val="20"/>
          <w:szCs w:val="20"/>
          <w:lang w:val="en-CA"/>
        </w:rPr>
        <w:t xml:space="preserve">2</w:t>
      </w:r>
      <w:r>
        <w:rPr>
          <w:b/>
          <w:bCs/>
          <w:sz w:val="20"/>
          <w:szCs w:val="20"/>
        </w:rPr>
        <w:t xml:space="preserve">. Comfort Levels Across AYA Palliative Care Competency Areas</w:t>
      </w:r>
      <w:r>
        <w:rPr>
          <w:lang w:val="en-US"/>
        </w:rPr>
      </w:r>
      <w:r>
        <w:rPr>
          <w:lang w:val="en-US"/>
        </w:rPr>
      </w:r>
    </w:p>
    <w:p>
      <w:pPr>
        <w:pBdr/>
        <w:spacing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Bdr/>
        <w:spacing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tbl>
      <w:tblPr>
        <w:tblW w:w="10182" w:type="dxa"/>
        <w:tblCellMar>
          <w:left w:w="10" w:type="dxa"/>
          <w:right w:w="1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557"/>
        <w:gridCol w:w="2081"/>
        <w:gridCol w:w="1559"/>
        <w:gridCol w:w="1984"/>
      </w:tblGrid>
      <w:tr>
        <w:trPr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b/>
                <w:bCs/>
                <w:sz w:val="20"/>
                <w:szCs w:val="20"/>
              </w:rPr>
              <w:t xml:space="preserve">Competency Area</w:t>
            </w:r>
            <w:r/>
            <w:r/>
          </w:p>
        </w:tc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562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vertAlign w:val="superscript"/>
              </w:rPr>
            </w:pPr>
            <w:r>
              <w:rPr>
                <w:b/>
                <w:bCs/>
                <w:sz w:val="20"/>
                <w:szCs w:val="20"/>
              </w:rPr>
              <w:t xml:space="preserve">Comfort level, n (%)</w:t>
            </w:r>
            <w:r>
              <w:rPr>
                <w:b/>
                <w:bCs/>
                <w:sz w:val="20"/>
                <w:szCs w:val="20"/>
                <w:vertAlign w:val="superscript"/>
                <w:lang w:val="en-CA"/>
              </w:rPr>
              <w:t xml:space="preserve">*</w:t>
            </w:r>
            <w:r/>
            <w:r>
              <w:rPr>
                <w:vertAlign w:val="superscript"/>
              </w:rPr>
            </w:r>
          </w:p>
        </w:tc>
      </w:tr>
      <w:tr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</w:rPr>
              <w:t xml:space="preserve">High</w:t>
            </w:r>
            <w:r/>
          </w:p>
          <w:p>
            <w:pPr>
              <w:pBdr/>
              <w:spacing/>
              <w:ind/>
              <w:jc w:val="center"/>
              <w:rPr/>
            </w:pPr>
            <w:r>
              <w:rPr>
                <w:b/>
                <w:bCs/>
                <w:sz w:val="20"/>
                <w:szCs w:val="20"/>
                <w:highlight w:val="none"/>
                <w:lang w:val="en-CA"/>
              </w:rPr>
              <w:t xml:space="preserve">(Agree/Strongly agree)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</w:rPr>
              <w:t xml:space="preserve">Moderate</w:t>
            </w:r>
            <w:r/>
          </w:p>
          <w:p>
            <w:pPr>
              <w:pBdr/>
              <w:spacing/>
              <w:ind/>
              <w:jc w:val="center"/>
              <w:rPr/>
            </w:pPr>
            <w:r>
              <w:rPr>
                <w:b/>
                <w:bCs/>
                <w:sz w:val="20"/>
                <w:szCs w:val="20"/>
                <w:highlight w:val="none"/>
                <w:lang w:val="en-CA"/>
              </w:rPr>
              <w:t xml:space="preserve">(Neutral)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</w:rPr>
              <w:t xml:space="preserve">Low</w:t>
            </w:r>
            <w:r/>
          </w:p>
          <w:p>
            <w:pPr>
              <w:pBdr/>
              <w:spacing/>
              <w:ind/>
              <w:jc w:val="center"/>
              <w:rPr/>
            </w:pPr>
            <w:r>
              <w:rPr>
                <w:b/>
                <w:bCs/>
                <w:sz w:val="20"/>
                <w:szCs w:val="20"/>
                <w:highlight w:val="none"/>
                <w:lang w:val="en-CA"/>
              </w:rPr>
              <w:t xml:space="preserve">(Disagree/Strongly disagree)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Explaining what palliative care means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48 (92.3)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 (1.9)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 (5.8)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Pain management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48 (94.1)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 (2)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 (3.9)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Management of respiratory symptoms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49 (96.1)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 (2)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 (2)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Management of gastro-intestinal symptoms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49 (96.1)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 (2)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 (2)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Management of psychological symptoms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35 (68.6)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11 (21.6)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5 (9.8)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Navigating social support resources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22 (44)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14 (28)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14 (28)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Exploring sexual health and fertility concerns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9 (18)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13 (26)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28 (56)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Discussing spiritual care needs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30 (60)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13 (26)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7 (14)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Discussing financial hardships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24 (48)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11 (22)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15 (30)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Process of care transition from pediatric to adult care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8 (16.3)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13 (26.5)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28 (57.1)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Goals of care discussions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37 (74)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10 (20)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 (6)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Managing complex ethical issues (e.g. patient autonomy </w:t>
            </w:r>
            <w:r>
              <w:rPr>
                <w:sz w:val="20"/>
                <w:szCs w:val="20"/>
              </w:rPr>
              <w:t xml:space="preserve">and decision making</w:t>
            </w:r>
            <w:r>
              <w:rPr>
                <w:sz w:val="20"/>
                <w:szCs w:val="20"/>
              </w:rPr>
              <w:t xml:space="preserve">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26 (52)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14 (28)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10 (20)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Transition of location of care discussions</w:t>
            </w:r>
            <w:r>
              <w:rPr>
                <w:sz w:val="20"/>
                <w:szCs w:val="20"/>
                <w:lang w:val="en-CA"/>
              </w:rPr>
              <w:t xml:space="preserve"> </w:t>
            </w:r>
            <w:r>
              <w:rPr>
                <w:sz w:val="20"/>
                <w:szCs w:val="20"/>
                <w:lang w:val="en-CA"/>
              </w:rPr>
            </w:r>
            <w:r>
              <w:rPr>
                <w:sz w:val="20"/>
                <w:szCs w:val="20"/>
                <w:lang w:val="en-CA"/>
              </w:rPr>
              <w:t xml:space="preserve">(e.g. discharge plans after hospital admission)</w:t>
            </w:r>
            <w:r/>
            <w:r>
              <w:rPr>
                <w:sz w:val="20"/>
                <w:szCs w:val="20"/>
                <w:lang w:val="en-CA"/>
              </w:rPr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36 (72)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10 (20)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4 (8)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Discussing end-of-life care with patients and caregivers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39 (78)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8 (16)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 (6)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Providing end-of-life care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42 (84)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6 (12)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 (4)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Providing caregiver support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38 (76)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9 (18)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 (6)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Grief and bereavement support to caregivers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29 (58)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15 (30)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6 (12)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Grief and bereavement resources for patients' children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19 (38)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21 (42)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10 (20)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Providing home palliative care to AYA patients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25 (51)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12 (24.5)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12 (24.5)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Providing palliative care to AYAs in outpatient clinics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29 (58)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11 (22)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10 (20)</w:t>
            </w:r>
            <w:r/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455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sz w:val="20"/>
                <w:szCs w:val="20"/>
              </w:rPr>
              <w:t xml:space="preserve">Providing palliative care to AYAs in inpatient settings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208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38 (76)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6 (12)</w:t>
            </w: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40" w:type="dxa"/>
              <w:top w:w="80" w:type="dxa"/>
              <w:right w:w="140" w:type="dxa"/>
              <w:bottom w:w="8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sz w:val="20"/>
                <w:szCs w:val="20"/>
              </w:rPr>
              <w:t xml:space="preserve">6 (12)</w:t>
            </w:r>
            <w:r/>
            <w:r/>
          </w:p>
        </w:tc>
      </w:tr>
    </w:tbl>
    <w:p>
      <w:pPr>
        <w:pStyle w:val="1_1651"/>
        <w:pBdr/>
        <w:spacing/>
        <w:ind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vertAlign w:val="superscript"/>
          <w14:ligatures w14:val="none"/>
        </w:rPr>
        <w:t xml:space="preserve">*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14:ligatures w14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  <w14:ligatures w14:val="none"/>
        </w:rPr>
        <w:t xml:space="preserve">Percentages are based on the total number of eligible answers in each question. Item-specific denominator ranging from n=4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  <w:lang w:val="en-CA"/>
          <w14:ligatures w14:val="none"/>
        </w:rPr>
        <w:t xml:space="preserve">9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  <w14:ligatures w14:val="none"/>
        </w:rPr>
        <w:t xml:space="preserve"> to n=5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  <w:lang w:val="en-CA"/>
          <w14:ligatures w14:val="none"/>
        </w:rPr>
        <w:t xml:space="preserve">2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0"/>
          <w:szCs w:val="20"/>
          <w14:ligatures w14:val="none"/>
        </w:rPr>
        <w:t xml:space="preserve"> due to missing data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  <w:highlight w:val="none"/>
          <w14:ligatures w14:val="none"/>
        </w:rPr>
      </w:r>
    </w:p>
    <w:p>
      <w:pPr>
        <w:pBdr/>
        <w:spacing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sectPr>
      <w:footnotePr/>
      <w:endnotePr/>
      <w:type w:val="nextPage"/>
      <w:pgSz w:h="15840" w:orient="portrait" w:w="12240"/>
      <w:pgMar w:top="1440" w:right="1440" w:bottom="1440" w:left="144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70">
    <w:name w:val="No Spacing"/>
    <w:basedOn w:val="66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74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74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7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4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4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4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2"/>
      <w:szCs w:val="22"/>
      <w14:ligatures w14:val="none"/>
    </w:rPr>
  </w:style>
  <w:style w:type="paragraph" w:styleId="665">
    <w:name w:val="Heading 1"/>
    <w:basedOn w:val="664"/>
    <w:next w:val="664"/>
    <w:link w:val="677"/>
    <w:uiPriority w:val="9"/>
    <w:qFormat/>
    <w:pPr>
      <w:keepNext w:val="true"/>
      <w:keepLines w:val="true"/>
      <w:pBdr/>
      <w:spacing w:after="80" w:before="360" w:line="278" w:lineRule="auto"/>
      <w:ind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  <w14:ligatures w14:val="standardContextual"/>
    </w:rPr>
  </w:style>
  <w:style w:type="paragraph" w:styleId="666">
    <w:name w:val="Heading 2"/>
    <w:basedOn w:val="664"/>
    <w:next w:val="664"/>
    <w:link w:val="678"/>
    <w:uiPriority w:val="9"/>
    <w:semiHidden/>
    <w:unhideWhenUsed/>
    <w:qFormat/>
    <w:pPr>
      <w:keepNext w:val="true"/>
      <w:keepLines w:val="true"/>
      <w:pBdr/>
      <w:spacing w:after="80" w:before="160" w:line="278" w:lineRule="auto"/>
      <w:ind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14:ligatures w14:val="standardContextual"/>
    </w:rPr>
  </w:style>
  <w:style w:type="paragraph" w:styleId="667">
    <w:name w:val="Heading 3"/>
    <w:basedOn w:val="664"/>
    <w:next w:val="664"/>
    <w:link w:val="679"/>
    <w:uiPriority w:val="9"/>
    <w:semiHidden/>
    <w:unhideWhenUsed/>
    <w:qFormat/>
    <w:pPr>
      <w:keepNext w:val="true"/>
      <w:keepLines w:val="true"/>
      <w:pBdr/>
      <w:spacing w:after="80" w:before="160" w:line="278" w:lineRule="auto"/>
      <w:ind/>
      <w:outlineLvl w:val="2"/>
    </w:pPr>
    <w:rPr>
      <w:rFonts w:asciiTheme="minorHAnsi" w:hAnsiTheme="minorHAnsi"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668">
    <w:name w:val="Heading 4"/>
    <w:basedOn w:val="664"/>
    <w:next w:val="664"/>
    <w:link w:val="680"/>
    <w:uiPriority w:val="9"/>
    <w:semiHidden/>
    <w:unhideWhenUsed/>
    <w:qFormat/>
    <w:pPr>
      <w:keepNext w:val="true"/>
      <w:keepLines w:val="true"/>
      <w:pBdr/>
      <w:spacing w:after="40" w:before="80" w:line="278" w:lineRule="auto"/>
      <w:ind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sz w:val="24"/>
      <w:szCs w:val="24"/>
      <w14:ligatures w14:val="standardContextual"/>
    </w:rPr>
  </w:style>
  <w:style w:type="paragraph" w:styleId="669">
    <w:name w:val="Heading 5"/>
    <w:basedOn w:val="664"/>
    <w:next w:val="664"/>
    <w:link w:val="681"/>
    <w:uiPriority w:val="9"/>
    <w:semiHidden/>
    <w:unhideWhenUsed/>
    <w:qFormat/>
    <w:pPr>
      <w:keepNext w:val="true"/>
      <w:keepLines w:val="true"/>
      <w:pBdr/>
      <w:spacing w:after="40" w:before="80" w:line="278" w:lineRule="auto"/>
      <w:ind/>
      <w:outlineLvl w:val="4"/>
    </w:pPr>
    <w:rPr>
      <w:rFonts w:asciiTheme="minorHAnsi" w:hAnsiTheme="minorHAnsi" w:eastAsiaTheme="majorEastAsia" w:cstheme="majorBidi"/>
      <w:color w:val="2f5496" w:themeColor="accent1" w:themeShade="BF"/>
      <w:sz w:val="24"/>
      <w:szCs w:val="24"/>
      <w14:ligatures w14:val="standardContextual"/>
    </w:rPr>
  </w:style>
  <w:style w:type="paragraph" w:styleId="670">
    <w:name w:val="Heading 6"/>
    <w:basedOn w:val="664"/>
    <w:next w:val="664"/>
    <w:link w:val="682"/>
    <w:uiPriority w:val="9"/>
    <w:semiHidden/>
    <w:unhideWhenUsed/>
    <w:qFormat/>
    <w:pPr>
      <w:keepNext w:val="true"/>
      <w:keepLines w:val="true"/>
      <w:pBdr/>
      <w:spacing w:before="40" w:line="278" w:lineRule="auto"/>
      <w:ind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671">
    <w:name w:val="Heading 7"/>
    <w:basedOn w:val="664"/>
    <w:next w:val="664"/>
    <w:link w:val="683"/>
    <w:uiPriority w:val="9"/>
    <w:semiHidden/>
    <w:unhideWhenUsed/>
    <w:qFormat/>
    <w:pPr>
      <w:keepNext w:val="true"/>
      <w:keepLines w:val="true"/>
      <w:pBdr/>
      <w:spacing w:before="40" w:line="278" w:lineRule="auto"/>
      <w:ind/>
      <w:outlineLvl w:val="6"/>
    </w:pPr>
    <w:rPr>
      <w:rFonts w:asciiTheme="minorHAnsi" w:hAnsiTheme="minorHAnsi" w:eastAsiaTheme="majorEastAsia" w:cstheme="majorBidi"/>
      <w:color w:val="595959" w:themeColor="text1" w:themeTint="A6"/>
      <w:sz w:val="24"/>
      <w:szCs w:val="24"/>
      <w14:ligatures w14:val="standardContextual"/>
    </w:rPr>
  </w:style>
  <w:style w:type="paragraph" w:styleId="672">
    <w:name w:val="Heading 8"/>
    <w:basedOn w:val="664"/>
    <w:next w:val="664"/>
    <w:link w:val="684"/>
    <w:uiPriority w:val="9"/>
    <w:semiHidden/>
    <w:unhideWhenUsed/>
    <w:qFormat/>
    <w:pPr>
      <w:keepNext w:val="true"/>
      <w:keepLines w:val="true"/>
      <w:pBdr/>
      <w:spacing w:line="278" w:lineRule="auto"/>
      <w:ind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673">
    <w:name w:val="Heading 9"/>
    <w:basedOn w:val="664"/>
    <w:next w:val="664"/>
    <w:link w:val="685"/>
    <w:uiPriority w:val="9"/>
    <w:semiHidden/>
    <w:unhideWhenUsed/>
    <w:qFormat/>
    <w:pPr>
      <w:keepNext w:val="true"/>
      <w:keepLines w:val="true"/>
      <w:pBdr/>
      <w:spacing w:line="278" w:lineRule="auto"/>
      <w:ind/>
      <w:outlineLvl w:val="8"/>
    </w:pPr>
    <w:rPr>
      <w:rFonts w:asciiTheme="minorHAnsi" w:hAnsiTheme="minorHAnsi" w:eastAsiaTheme="majorEastAsia" w:cstheme="majorBidi"/>
      <w:color w:val="272727" w:themeColor="text1" w:themeTint="D8"/>
      <w:sz w:val="24"/>
      <w:szCs w:val="24"/>
      <w14:ligatures w14:val="standardContextual"/>
    </w:rPr>
  </w:style>
  <w:style w:type="character" w:styleId="674" w:default="1">
    <w:name w:val="Default Paragraph Font"/>
    <w:uiPriority w:val="1"/>
    <w:semiHidden/>
    <w:unhideWhenUsed/>
    <w:pPr>
      <w:pBdr/>
      <w:spacing/>
      <w:ind/>
    </w:pPr>
  </w:style>
  <w:style w:type="table" w:styleId="67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6" w:default="1">
    <w:name w:val="No List"/>
    <w:uiPriority w:val="99"/>
    <w:semiHidden/>
    <w:unhideWhenUsed/>
    <w:pPr>
      <w:pBdr/>
      <w:spacing/>
      <w:ind/>
    </w:pPr>
  </w:style>
  <w:style w:type="character" w:styleId="677" w:customStyle="1">
    <w:name w:val="Heading 1 Char"/>
    <w:basedOn w:val="674"/>
    <w:link w:val="665"/>
    <w:uiPriority w:val="9"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678" w:customStyle="1">
    <w:name w:val="Heading 2 Char"/>
    <w:basedOn w:val="674"/>
    <w:link w:val="66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679" w:customStyle="1">
    <w:name w:val="Heading 3 Char"/>
    <w:basedOn w:val="674"/>
    <w:link w:val="667"/>
    <w:uiPriority w:val="9"/>
    <w:semiHidden/>
    <w:pPr>
      <w:pBdr/>
      <w:spacing/>
      <w:ind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680" w:customStyle="1">
    <w:name w:val="Heading 4 Char"/>
    <w:basedOn w:val="674"/>
    <w:link w:val="668"/>
    <w:uiPriority w:val="9"/>
    <w:semiHidden/>
    <w:pPr>
      <w:pBdr/>
      <w:spacing/>
      <w:ind/>
    </w:pPr>
    <w:rPr>
      <w:rFonts w:eastAsiaTheme="majorEastAsia" w:cstheme="majorBidi"/>
      <w:i/>
      <w:iCs/>
      <w:color w:val="2f5496" w:themeColor="accent1" w:themeShade="BF"/>
    </w:rPr>
  </w:style>
  <w:style w:type="character" w:styleId="681" w:customStyle="1">
    <w:name w:val="Heading 5 Char"/>
    <w:basedOn w:val="674"/>
    <w:link w:val="669"/>
    <w:uiPriority w:val="9"/>
    <w:semiHidden/>
    <w:pPr>
      <w:pBdr/>
      <w:spacing/>
      <w:ind/>
    </w:pPr>
    <w:rPr>
      <w:rFonts w:eastAsiaTheme="majorEastAsia" w:cstheme="majorBidi"/>
      <w:color w:val="2f5496" w:themeColor="accent1" w:themeShade="BF"/>
    </w:rPr>
  </w:style>
  <w:style w:type="character" w:styleId="682" w:customStyle="1">
    <w:name w:val="Heading 6 Char"/>
    <w:basedOn w:val="674"/>
    <w:link w:val="670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683" w:customStyle="1">
    <w:name w:val="Heading 7 Char"/>
    <w:basedOn w:val="674"/>
    <w:link w:val="671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684" w:customStyle="1">
    <w:name w:val="Heading 8 Char"/>
    <w:basedOn w:val="674"/>
    <w:link w:val="672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685" w:customStyle="1">
    <w:name w:val="Heading 9 Char"/>
    <w:basedOn w:val="674"/>
    <w:link w:val="673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686">
    <w:name w:val="Title"/>
    <w:basedOn w:val="664"/>
    <w:next w:val="664"/>
    <w:link w:val="687"/>
    <w:uiPriority w:val="10"/>
    <w:qFormat/>
    <w:pPr>
      <w:pBdr/>
      <w:spacing w:after="80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  <w14:ligatures w14:val="standardContextual"/>
    </w:rPr>
  </w:style>
  <w:style w:type="character" w:styleId="687" w:customStyle="1">
    <w:name w:val="Title Char"/>
    <w:basedOn w:val="674"/>
    <w:link w:val="686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88">
    <w:name w:val="Subtitle"/>
    <w:basedOn w:val="664"/>
    <w:next w:val="664"/>
    <w:link w:val="689"/>
    <w:uiPriority w:val="11"/>
    <w:qFormat/>
    <w:pPr>
      <w:numPr>
        <w:ilvl w:val="1"/>
      </w:numPr>
      <w:pBdr/>
      <w:spacing w:after="160" w:line="278" w:lineRule="auto"/>
      <w:ind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styleId="689" w:customStyle="1">
    <w:name w:val="Subtitle Char"/>
    <w:basedOn w:val="674"/>
    <w:link w:val="688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90">
    <w:name w:val="Quote"/>
    <w:basedOn w:val="664"/>
    <w:next w:val="664"/>
    <w:link w:val="691"/>
    <w:uiPriority w:val="29"/>
    <w:qFormat/>
    <w:pPr>
      <w:pBdr/>
      <w:spacing w:after="160" w:before="160" w:line="278" w:lineRule="auto"/>
      <w:ind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styleId="691" w:customStyle="1">
    <w:name w:val="Quote Char"/>
    <w:basedOn w:val="674"/>
    <w:link w:val="69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692">
    <w:name w:val="List Paragraph"/>
    <w:basedOn w:val="664"/>
    <w:uiPriority w:val="34"/>
    <w:qFormat/>
    <w:pPr>
      <w:pBdr/>
      <w:spacing w:after="160" w:line="278" w:lineRule="auto"/>
      <w:ind w:left="720"/>
      <w:contextualSpacing w:val="true"/>
    </w:pPr>
    <w:rPr>
      <w:rFonts w:asciiTheme="minorHAnsi" w:hAnsiTheme="minorHAnsi" w:eastAsiaTheme="minorHAnsi" w:cstheme="minorBidi"/>
      <w:sz w:val="24"/>
      <w:szCs w:val="24"/>
      <w14:ligatures w14:val="standardContextual"/>
    </w:rPr>
  </w:style>
  <w:style w:type="character" w:styleId="693">
    <w:name w:val="Intense Emphasis"/>
    <w:basedOn w:val="674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694">
    <w:name w:val="Intense Quote"/>
    <w:basedOn w:val="664"/>
    <w:next w:val="664"/>
    <w:link w:val="695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 w:line="278" w:lineRule="auto"/>
      <w:ind w:right="864" w:lef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sz w:val="24"/>
      <w:szCs w:val="24"/>
      <w14:ligatures w14:val="standardContextual"/>
    </w:rPr>
  </w:style>
  <w:style w:type="character" w:styleId="695" w:customStyle="1">
    <w:name w:val="Intense Quote Char"/>
    <w:basedOn w:val="674"/>
    <w:link w:val="694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696">
    <w:name w:val="Intense Reference"/>
    <w:basedOn w:val="674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paragraph" w:styleId="1_1651" w:customStyle="1">
    <w:name w:val="Body Text"/>
    <w:basedOn w:val="842"/>
    <w:link w:val="1024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bidi w:val="false"/>
      <w:spacing w:after="180" w:afterAutospacing="0" w:before="180" w:beforeAutospacing="0" w:line="240" w:lineRule="auto"/>
      <w:ind w:right="0" w:firstLine="0" w:left="0"/>
      <w:contextualSpacing w:val="false"/>
      <w:jc w:val="left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Abdulaziz Mohammed Bakhsh</dc:creator>
  <cp:keywords/>
  <dc:description/>
  <cp:revision>2</cp:revision>
  <dcterms:created xsi:type="dcterms:W3CDTF">2026-06-07T21:20:00Z</dcterms:created>
  <dcterms:modified xsi:type="dcterms:W3CDTF">2026-06-07T22:44:09Z</dcterms:modified>
</cp:coreProperties>
</file>