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D0E594">
      <w:pPr>
        <w:jc w:val="center"/>
        <w:rPr>
          <w:rFonts w:hint="eastAsia"/>
          <w:b/>
          <w:bCs/>
          <w:sz w:val="30"/>
          <w:szCs w:val="30"/>
          <w:lang w:val="en-US" w:eastAsia="zh-CN"/>
        </w:rPr>
      </w:pPr>
      <w:r>
        <w:rPr>
          <w:rFonts w:hint="eastAsia"/>
          <w:b/>
          <w:bCs/>
          <w:sz w:val="30"/>
          <w:szCs w:val="30"/>
          <w:lang w:val="en-US" w:eastAsia="zh-CN"/>
        </w:rPr>
        <w:t>线上教学联合PBL+CBL教学模式在乳腺外科外科教学中的应用课后问卷</w:t>
      </w:r>
    </w:p>
    <w:p w14:paraId="6D2CE67C">
      <w:pPr>
        <w:rPr>
          <w:rFonts w:hint="eastAsia" w:ascii="Times New Roman" w:hAnsi="Times New Roman" w:cs="Times New Roman"/>
          <w:b/>
          <w:bCs/>
          <w:sz w:val="30"/>
          <w:szCs w:val="30"/>
        </w:rPr>
      </w:pPr>
      <w:r>
        <w:rPr>
          <w:rFonts w:ascii="Times New Roman" w:hAnsi="Times New Roman" w:cs="Times New Roman"/>
          <w:b/>
          <w:bCs/>
          <w:sz w:val="30"/>
          <w:szCs w:val="30"/>
        </w:rPr>
        <w:t>The After-class Teachin</w:t>
      </w:r>
      <w:r>
        <w:rPr>
          <w:rFonts w:hint="eastAsia" w:ascii="Times New Roman" w:hAnsi="Times New Roman" w:cs="Times New Roman"/>
          <w:b/>
          <w:bCs/>
          <w:sz w:val="30"/>
          <w:szCs w:val="30"/>
          <w:lang w:val="en-US" w:eastAsia="zh-CN"/>
        </w:rPr>
        <w:t>g</w:t>
      </w:r>
      <w:r>
        <w:rPr>
          <w:rFonts w:ascii="Times New Roman" w:hAnsi="Times New Roman" w:cs="Times New Roman"/>
          <w:b/>
          <w:bCs/>
          <w:sz w:val="30"/>
          <w:szCs w:val="30"/>
        </w:rPr>
        <w:t xml:space="preserve"> Questionnaire </w:t>
      </w:r>
      <w:r>
        <w:rPr>
          <w:rFonts w:hint="eastAsia" w:ascii="Times New Roman" w:hAnsi="Times New Roman" w:cs="Times New Roman"/>
          <w:b/>
          <w:bCs/>
          <w:sz w:val="30"/>
          <w:szCs w:val="30"/>
        </w:rPr>
        <w:t xml:space="preserve">on the Application of Online Teaching Combined with </w:t>
      </w:r>
      <w:r>
        <w:rPr>
          <w:rFonts w:ascii="Times New Roman" w:hAnsi="Times New Roman" w:cs="Times New Roman"/>
          <w:b/>
          <w:bCs/>
          <w:sz w:val="30"/>
          <w:szCs w:val="30"/>
        </w:rPr>
        <w:t>Problem-Based Learning (PBL) and Case-Based Learning (CBL)</w:t>
      </w:r>
      <w:r>
        <w:rPr>
          <w:rFonts w:hint="eastAsia" w:ascii="Times New Roman" w:hAnsi="Times New Roman" w:cs="Times New Roman"/>
          <w:b/>
          <w:bCs/>
          <w:sz w:val="30"/>
          <w:szCs w:val="30"/>
        </w:rPr>
        <w:t xml:space="preserve"> Teaching Model in </w:t>
      </w:r>
      <w:r>
        <w:rPr>
          <w:rFonts w:hint="eastAsia" w:ascii="Times New Roman" w:hAnsi="Times New Roman" w:cs="Times New Roman"/>
          <w:b/>
          <w:bCs/>
          <w:sz w:val="30"/>
          <w:szCs w:val="30"/>
          <w:lang w:val="en-US" w:eastAsia="zh-CN"/>
        </w:rPr>
        <w:t xml:space="preserve">the Teaching of </w:t>
      </w:r>
      <w:r>
        <w:rPr>
          <w:rFonts w:hint="eastAsia" w:ascii="Times New Roman" w:hAnsi="Times New Roman" w:cs="Times New Roman"/>
          <w:b/>
          <w:bCs/>
          <w:sz w:val="30"/>
          <w:szCs w:val="30"/>
        </w:rPr>
        <w:t>Breast Surgery</w:t>
      </w:r>
    </w:p>
    <w:p w14:paraId="6681AD41"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同学您好！</w:t>
      </w:r>
    </w:p>
    <w:p w14:paraId="7F6FE4A0"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</w:t>
      </w:r>
      <w:r>
        <w:rPr>
          <w:sz w:val="24"/>
          <w:szCs w:val="24"/>
        </w:rPr>
        <w:t xml:space="preserve">  </w:t>
      </w:r>
      <w:r>
        <w:rPr>
          <w:rFonts w:hint="eastAsia"/>
          <w:sz w:val="24"/>
          <w:szCs w:val="24"/>
        </w:rPr>
        <w:t>本问卷是一份学术性研究问卷，是对</w:t>
      </w:r>
      <w:r>
        <w:rPr>
          <w:rFonts w:hint="eastAsia"/>
          <w:sz w:val="24"/>
          <w:szCs w:val="24"/>
          <w:lang w:val="en-US" w:eastAsia="zh-CN"/>
        </w:rPr>
        <w:t>线上教学联合</w:t>
      </w:r>
      <w:r>
        <w:rPr>
          <w:rFonts w:hint="eastAsia"/>
          <w:sz w:val="24"/>
          <w:szCs w:val="24"/>
        </w:rPr>
        <w:t>PB</w:t>
      </w:r>
      <w:r>
        <w:rPr>
          <w:rFonts w:hint="eastAsia"/>
          <w:sz w:val="24"/>
          <w:szCs w:val="24"/>
          <w:lang w:val="en-US" w:eastAsia="zh-CN"/>
        </w:rPr>
        <w:t>L+</w:t>
      </w:r>
      <w:r>
        <w:rPr>
          <w:rFonts w:hint="eastAsia"/>
          <w:sz w:val="24"/>
          <w:szCs w:val="24"/>
        </w:rPr>
        <w:t>CBL教学法与传统授课教学法在</w:t>
      </w:r>
      <w:r>
        <w:rPr>
          <w:rFonts w:hint="eastAsia"/>
          <w:sz w:val="24"/>
          <w:szCs w:val="24"/>
          <w:lang w:val="en-US" w:eastAsia="zh-CN"/>
        </w:rPr>
        <w:t>乳腺</w:t>
      </w:r>
      <w:r>
        <w:rPr>
          <w:rFonts w:hint="eastAsia"/>
          <w:sz w:val="24"/>
          <w:szCs w:val="24"/>
        </w:rPr>
        <w:t>外科临床教学中应用效果</w:t>
      </w:r>
      <w:r>
        <w:rPr>
          <w:rFonts w:hint="eastAsia"/>
          <w:sz w:val="24"/>
          <w:szCs w:val="24"/>
          <w:lang w:val="en-US" w:eastAsia="zh-CN"/>
        </w:rPr>
        <w:t>的</w:t>
      </w:r>
      <w:r>
        <w:rPr>
          <w:rFonts w:hint="eastAsia"/>
          <w:sz w:val="24"/>
          <w:szCs w:val="24"/>
        </w:rPr>
        <w:t>评价调查，希望您能真实客观地填写问卷。问卷每个问题，根据课后改善程度，将效果分为5个等级，1=差；2=较差；3=中；4=良好；5=极好。</w:t>
      </w:r>
    </w:p>
    <w:p w14:paraId="0832CE87">
      <w:pPr>
        <w:spacing w:line="360" w:lineRule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提示：本问卷所有题项均为单项选择题，选择时只需在您认同的数字窗口打“√”。</w:t>
      </w:r>
    </w:p>
    <w:p w14:paraId="17B3C97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Dear Classmates,</w:t>
      </w:r>
    </w:p>
    <w:p w14:paraId="13D72FE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sz w:val="24"/>
          <w:szCs w:val="24"/>
        </w:rPr>
        <w:t>This questionnaire is for an academic research study. It aims to evaluate and investigate the application effects of two teaching methods—online teaching combined with the PBL+CBL method and the traditional lecture-based teaching method—in the clinical teaching of breast surgery. We hope you can fill it out truthfully and objectively.</w:t>
      </w:r>
      <w:r>
        <w:rPr>
          <w:rFonts w:ascii="Times New Roman" w:hAnsi="Times New Roman" w:cs="Times New Roman"/>
          <w:sz w:val="24"/>
          <w:szCs w:val="24"/>
        </w:rPr>
        <w:t xml:space="preserve">According to the improvement degree after class, the effect of each question in the questionnaire is divided into 5 levels, 1= </w:t>
      </w:r>
      <w:r>
        <w:rPr>
          <w:rFonts w:hint="eastAsia" w:ascii="Times New Roman" w:hAnsi="Times New Roman" w:cs="Times New Roman"/>
          <w:sz w:val="24"/>
          <w:szCs w:val="24"/>
        </w:rPr>
        <w:t>worse</w:t>
      </w:r>
      <w:r>
        <w:rPr>
          <w:rFonts w:ascii="Times New Roman" w:hAnsi="Times New Roman" w:cs="Times New Roman"/>
          <w:sz w:val="24"/>
          <w:szCs w:val="24"/>
        </w:rPr>
        <w:t>;</w:t>
      </w:r>
      <w:r>
        <w:rPr>
          <w:rFonts w:hint="eastAsia"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 = poor;</w:t>
      </w:r>
      <w:r>
        <w:rPr>
          <w:rFonts w:hint="eastAsia"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3 =</w:t>
      </w:r>
      <w:r>
        <w:rPr>
          <w:rFonts w:hint="eastAsia" w:ascii="Times New Roman" w:hAnsi="Times New Roman" w:cs="Times New Roman"/>
          <w:sz w:val="24"/>
          <w:szCs w:val="24"/>
        </w:rPr>
        <w:t>average</w:t>
      </w:r>
      <w:r>
        <w:rPr>
          <w:rFonts w:ascii="Times New Roman" w:hAnsi="Times New Roman" w:cs="Times New Roman"/>
          <w:sz w:val="24"/>
          <w:szCs w:val="24"/>
        </w:rPr>
        <w:t>;</w:t>
      </w:r>
      <w:r>
        <w:rPr>
          <w:rFonts w:hint="eastAsia"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4 = good;</w:t>
      </w:r>
      <w:r>
        <w:rPr>
          <w:rFonts w:hint="eastAsia"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5 = </w:t>
      </w:r>
      <w:r>
        <w:rPr>
          <w:rFonts w:hint="eastAsia" w:ascii="Times New Roman" w:hAnsi="Times New Roman" w:cs="Times New Roman"/>
          <w:sz w:val="24"/>
          <w:szCs w:val="24"/>
        </w:rPr>
        <w:t>excellent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hint="eastAsia" w:ascii="Times New Roman" w:hAnsi="Times New Roman" w:cs="Times New Roman"/>
          <w:sz w:val="24"/>
          <w:szCs w:val="24"/>
        </w:rPr>
        <w:t xml:space="preserve"> </w:t>
      </w:r>
    </w:p>
    <w:p w14:paraId="3C8BD679">
      <w:pPr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sz w:val="24"/>
          <w:szCs w:val="24"/>
        </w:rPr>
        <w:t>Note: All items in this questionnaire are single-choice questions. Please simply tick "√" in the number box that corresponds to your choice.</w:t>
      </w:r>
    </w:p>
    <w:p w14:paraId="4F4E730D">
      <w:pPr>
        <w:rPr>
          <w:rFonts w:ascii="Times New Roman" w:hAnsi="Times New Roman" w:cs="Times New Roman"/>
          <w:sz w:val="24"/>
          <w:szCs w:val="24"/>
        </w:rPr>
      </w:pPr>
    </w:p>
    <w:p w14:paraId="0C86A947">
      <w:pPr>
        <w:spacing w:line="360" w:lineRule="auto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一、个人基本信息：</w:t>
      </w:r>
    </w:p>
    <w:p w14:paraId="42505624"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学号： </w:t>
      </w:r>
      <w:r>
        <w:rPr>
          <w:sz w:val="24"/>
          <w:szCs w:val="24"/>
        </w:rPr>
        <w:t xml:space="preserve">                               </w:t>
      </w:r>
    </w:p>
    <w:p w14:paraId="7F4A0CB4"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性别： </w:t>
      </w:r>
      <w:r>
        <w:rPr>
          <w:sz w:val="24"/>
          <w:szCs w:val="24"/>
        </w:rPr>
        <w:t xml:space="preserve">                               </w:t>
      </w:r>
      <w:r>
        <w:rPr>
          <w:rFonts w:hint="eastAsia"/>
          <w:sz w:val="24"/>
          <w:szCs w:val="24"/>
        </w:rPr>
        <w:t>年龄：</w:t>
      </w:r>
    </w:p>
    <w:p w14:paraId="6178A9C0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 Basic Personal Information:</w:t>
      </w:r>
    </w:p>
    <w:p w14:paraId="5265259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Student No. :</w:t>
      </w:r>
    </w:p>
    <w:p w14:paraId="666084F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Gender: </w:t>
      </w:r>
      <w:r>
        <w:rPr>
          <w:rFonts w:hint="eastAsia" w:ascii="Times New Roman" w:hAnsi="Times New Roman" w:cs="Times New Roman"/>
          <w:sz w:val="24"/>
          <w:szCs w:val="24"/>
        </w:rPr>
        <w:t xml:space="preserve">                          </w:t>
      </w:r>
      <w:r>
        <w:rPr>
          <w:rFonts w:ascii="Times New Roman" w:hAnsi="Times New Roman" w:cs="Times New Roman"/>
          <w:sz w:val="24"/>
          <w:szCs w:val="24"/>
        </w:rPr>
        <w:t>Age:</w:t>
      </w:r>
    </w:p>
    <w:p w14:paraId="3C59D477">
      <w:pPr>
        <w:spacing w:line="360" w:lineRule="auto"/>
        <w:rPr>
          <w:sz w:val="24"/>
          <w:szCs w:val="24"/>
        </w:rPr>
      </w:pPr>
    </w:p>
    <w:p w14:paraId="26C5A337">
      <w:pPr>
        <w:spacing w:line="360" w:lineRule="auto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二、课后教学效果调查问卷内容：</w:t>
      </w:r>
    </w:p>
    <w:tbl>
      <w:tblPr>
        <w:tblStyle w:val="4"/>
        <w:tblW w:w="9563" w:type="dxa"/>
        <w:tblInd w:w="-29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93"/>
        <w:gridCol w:w="1134"/>
        <w:gridCol w:w="1134"/>
        <w:gridCol w:w="1134"/>
        <w:gridCol w:w="1134"/>
        <w:gridCol w:w="1134"/>
      </w:tblGrid>
      <w:tr w14:paraId="41CB62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0" w:type="auto"/>
            <w:vMerge w:val="restart"/>
            <w:tcBorders>
              <w:top w:val="single" w:color="000000" w:sz="8" w:space="0"/>
              <w:left w:val="single" w:color="000000" w:sz="8" w:space="0"/>
              <w:bottom w:val="nil"/>
              <w:right w:val="nil"/>
              <w:insideV w:val="nil"/>
            </w:tcBorders>
            <w:shd w:val="clear" w:color="auto" w:fill="auto"/>
            <w:vAlign w:val="center"/>
          </w:tcPr>
          <w:p w14:paraId="6865D11D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描述</w:t>
            </w:r>
          </w:p>
        </w:tc>
        <w:tc>
          <w:tcPr>
            <w:tcW w:w="1134" w:type="dxa"/>
            <w:tcBorders>
              <w:top w:val="single" w:color="000000" w:sz="8" w:space="0"/>
              <w:left w:val="nil"/>
              <w:bottom w:val="nil"/>
              <w:right w:val="nil"/>
              <w:insideV w:val="nil"/>
            </w:tcBorders>
            <w:shd w:val="clear" w:color="auto" w:fill="auto"/>
            <w:vAlign w:val="center"/>
          </w:tcPr>
          <w:p w14:paraId="15D20454">
            <w:pPr>
              <w:jc w:val="center"/>
              <w:rPr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差</w:t>
            </w:r>
          </w:p>
          <w:p w14:paraId="7839C57B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很少</w:t>
            </w:r>
            <w:r>
              <w:rPr>
                <w:rFonts w:hint="eastAsia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1134" w:type="dxa"/>
            <w:tcBorders>
              <w:top w:val="single" w:color="000000" w:sz="8" w:space="0"/>
              <w:left w:val="nil"/>
              <w:bottom w:val="nil"/>
              <w:right w:val="nil"/>
              <w:insideV w:val="nil"/>
            </w:tcBorders>
            <w:shd w:val="clear" w:color="auto" w:fill="auto"/>
            <w:vAlign w:val="center"/>
          </w:tcPr>
          <w:p w14:paraId="73EC63A8">
            <w:pPr>
              <w:jc w:val="center"/>
              <w:rPr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较差</w:t>
            </w:r>
          </w:p>
          <w:p w14:paraId="3DE4B61F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较少</w:t>
            </w:r>
            <w:r>
              <w:rPr>
                <w:rFonts w:hint="eastAsia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1134" w:type="dxa"/>
            <w:tcBorders>
              <w:top w:val="single" w:color="000000" w:sz="8" w:space="0"/>
              <w:left w:val="nil"/>
              <w:bottom w:val="nil"/>
              <w:right w:val="nil"/>
              <w:insideV w:val="nil"/>
            </w:tcBorders>
            <w:shd w:val="clear" w:color="auto" w:fill="auto"/>
            <w:vAlign w:val="center"/>
          </w:tcPr>
          <w:p w14:paraId="0911B4C3">
            <w:pPr>
              <w:jc w:val="center"/>
              <w:rPr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中等</w:t>
            </w:r>
          </w:p>
          <w:p w14:paraId="4C2CB3EB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hint="eastAsia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一般</w:t>
            </w:r>
            <w:r>
              <w:rPr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1134" w:type="dxa"/>
            <w:tcBorders>
              <w:top w:val="single" w:color="000000" w:sz="8" w:space="0"/>
              <w:left w:val="nil"/>
              <w:bottom w:val="nil"/>
              <w:right w:val="nil"/>
              <w:insideV w:val="nil"/>
            </w:tcBorders>
            <w:shd w:val="clear" w:color="auto" w:fill="auto"/>
            <w:vAlign w:val="center"/>
          </w:tcPr>
          <w:p w14:paraId="75F537E5">
            <w:pPr>
              <w:jc w:val="center"/>
              <w:rPr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良好</w:t>
            </w:r>
          </w:p>
          <w:p w14:paraId="240773C3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较多</w:t>
            </w:r>
            <w:r>
              <w:rPr>
                <w:rFonts w:hint="eastAsia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1134" w:type="dxa"/>
            <w:tcBorders>
              <w:top w:val="single" w:color="000000" w:sz="8" w:space="0"/>
              <w:left w:val="nil"/>
              <w:bottom w:val="nil"/>
              <w:right w:val="single" w:color="000000" w:sz="8" w:space="0"/>
              <w:insideV w:val="nil"/>
            </w:tcBorders>
            <w:shd w:val="clear" w:color="auto" w:fill="auto"/>
            <w:vAlign w:val="center"/>
          </w:tcPr>
          <w:p w14:paraId="7643298E">
            <w:pPr>
              <w:jc w:val="center"/>
              <w:rPr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极好</w:t>
            </w:r>
          </w:p>
          <w:p w14:paraId="0F393ECA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非常多</w:t>
            </w:r>
            <w:r>
              <w:rPr>
                <w:rFonts w:hint="eastAsia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</w:tr>
      <w:tr w14:paraId="4AE8AA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</w:trPr>
        <w:tc>
          <w:tcPr>
            <w:tcW w:w="0" w:type="auto"/>
            <w:vMerge w:val="continue"/>
            <w:tcBorders>
              <w:top w:val="nil"/>
              <w:left w:val="single" w:color="000000" w:sz="8" w:space="0"/>
              <w:bottom w:val="nil"/>
              <w:right w:val="nil"/>
            </w:tcBorders>
            <w:shd w:val="clear" w:color="auto" w:fill="auto"/>
            <w:vAlign w:val="center"/>
          </w:tcPr>
          <w:p w14:paraId="058137EC">
            <w:pPr>
              <w:jc w:val="center"/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FE3B93">
            <w:pPr>
              <w:jc w:val="center"/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F8D526">
            <w:pPr>
              <w:jc w:val="center"/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A500FA">
            <w:pPr>
              <w:jc w:val="center"/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BD3A95">
            <w:pPr>
              <w:jc w:val="center"/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 w14:paraId="1D47384D">
            <w:pPr>
              <w:jc w:val="center"/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</w:tr>
      <w:tr w14:paraId="31C7FA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nil"/>
              <w:right w:val="nil"/>
            </w:tcBorders>
            <w:vAlign w:val="center"/>
          </w:tcPr>
          <w:p w14:paraId="2B8C8B4D"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1、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对本科室理论知识的理解掌握</w:t>
            </w:r>
            <w:r>
              <w:rPr>
                <w:rFonts w:hint="default"/>
                <w:sz w:val="24"/>
                <w:szCs w:val="24"/>
                <w:lang w:val="en-US" w:eastAsia="zh-CN"/>
              </w:rPr>
              <w:t>程度（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如</w:t>
            </w:r>
            <w:r>
              <w:rPr>
                <w:rFonts w:hint="default"/>
                <w:sz w:val="24"/>
                <w:szCs w:val="24"/>
                <w:lang w:val="en-US" w:eastAsia="zh-CN"/>
              </w:rPr>
              <w:t>乳腺疾病病理机制、诊疗指南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等</w:t>
            </w:r>
            <w:r>
              <w:rPr>
                <w:rFonts w:hint="default"/>
                <w:sz w:val="24"/>
                <w:szCs w:val="24"/>
                <w:lang w:val="en-US" w:eastAsia="zh-CN"/>
              </w:rPr>
              <w:t>）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46D49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41A1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DCEE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4B94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color="000000" w:sz="8" w:space="0"/>
            </w:tcBorders>
            <w:vAlign w:val="center"/>
          </w:tcPr>
          <w:p w14:paraId="0E37E80C">
            <w:pPr>
              <w:jc w:val="center"/>
              <w:rPr>
                <w:sz w:val="24"/>
                <w:szCs w:val="24"/>
              </w:rPr>
            </w:pPr>
          </w:p>
        </w:tc>
      </w:tr>
      <w:tr w14:paraId="76B242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nil"/>
              <w:right w:val="nil"/>
            </w:tcBorders>
            <w:shd w:val="clear" w:color="auto" w:fill="CCCCCC" w:themeFill="text1" w:themeFillTint="33"/>
            <w:vAlign w:val="center"/>
          </w:tcPr>
          <w:p w14:paraId="274C1218">
            <w:pPr>
              <w:spacing w:line="360" w:lineRule="auto"/>
              <w:rPr>
                <w:rFonts w:hint="default"/>
                <w:sz w:val="24"/>
                <w:szCs w:val="24"/>
                <w:lang w:val="en-US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2、</w:t>
            </w:r>
            <w:r>
              <w:rPr>
                <w:rFonts w:hint="default"/>
                <w:sz w:val="24"/>
                <w:szCs w:val="24"/>
                <w:lang w:val="en-US" w:eastAsia="zh-CN"/>
              </w:rPr>
              <w:t>自主学习能力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的加强（如课外主动查询相关拓展知识、文献指南的搜索获取等）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CCCCCC" w:themeFill="text1" w:themeFillTint="33"/>
            <w:vAlign w:val="center"/>
          </w:tcPr>
          <w:p w14:paraId="0D7AB39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CCCCCC" w:themeFill="text1" w:themeFillTint="33"/>
            <w:vAlign w:val="center"/>
          </w:tcPr>
          <w:p w14:paraId="3A53339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CCCCCC" w:themeFill="text1" w:themeFillTint="33"/>
            <w:vAlign w:val="center"/>
          </w:tcPr>
          <w:p w14:paraId="23DB67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CCCCCC" w:themeFill="text1" w:themeFillTint="33"/>
            <w:vAlign w:val="center"/>
          </w:tcPr>
          <w:p w14:paraId="63F43BF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color="000000" w:sz="8" w:space="0"/>
            </w:tcBorders>
            <w:shd w:val="clear" w:color="auto" w:fill="CCCCCC" w:themeFill="text1" w:themeFillTint="33"/>
            <w:vAlign w:val="center"/>
          </w:tcPr>
          <w:p w14:paraId="31F614C6">
            <w:pPr>
              <w:jc w:val="center"/>
              <w:rPr>
                <w:sz w:val="24"/>
                <w:szCs w:val="24"/>
              </w:rPr>
            </w:pPr>
          </w:p>
        </w:tc>
      </w:tr>
      <w:tr w14:paraId="7498E9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nil"/>
              <w:right w:val="nil"/>
            </w:tcBorders>
            <w:vAlign w:val="center"/>
          </w:tcPr>
          <w:p w14:paraId="5674DB2D">
            <w:pPr>
              <w:spacing w:line="360" w:lineRule="auto"/>
              <w:rPr>
                <w:rFonts w:hint="default"/>
                <w:sz w:val="24"/>
                <w:szCs w:val="24"/>
                <w:lang w:val="en-US"/>
              </w:rPr>
            </w:pPr>
            <w:r>
              <w:rPr>
                <w:rFonts w:hint="eastAsia"/>
                <w:sz w:val="24"/>
                <w:szCs w:val="24"/>
              </w:rPr>
              <w:t>3、</w:t>
            </w:r>
            <w:r>
              <w:rPr>
                <w:rFonts w:hint="default" w:ascii="宋体" w:hAnsi="宋体" w:eastAsia="宋体"/>
                <w:b w:val="0"/>
                <w:bCs w:val="0"/>
                <w:sz w:val="24"/>
                <w:szCs w:val="24"/>
                <w:lang w:val="en-US" w:eastAsia="zh-CN"/>
                <w14:ligatures w14:val="standardContextual"/>
              </w:rPr>
              <w:t>创新能力</w:t>
            </w:r>
            <w:r>
              <w:rPr>
                <w:rFonts w:hint="eastAsia" w:ascii="宋体" w:hAnsi="宋体" w:eastAsia="宋体"/>
                <w:b w:val="0"/>
                <w:bCs w:val="0"/>
                <w:sz w:val="24"/>
                <w:szCs w:val="24"/>
                <w:lang w:val="en-US" w:eastAsia="zh-CN"/>
                <w14:ligatures w14:val="standardContextual"/>
              </w:rPr>
              <w:t>的加强（如</w:t>
            </w:r>
            <w:r>
              <w:rPr>
                <w:rFonts w:hint="default" w:ascii="宋体" w:hAnsi="宋体" w:eastAsia="宋体"/>
                <w:b w:val="0"/>
                <w:bCs w:val="0"/>
                <w:sz w:val="24"/>
                <w:szCs w:val="24"/>
                <w:lang w:val="en-US" w:eastAsia="zh-CN"/>
                <w14:ligatures w14:val="standardContextual"/>
              </w:rPr>
              <w:t>诊疗方案优化思路</w:t>
            </w:r>
            <w:r>
              <w:rPr>
                <w:rFonts w:hint="eastAsia" w:ascii="宋体" w:hAnsi="宋体" w:eastAsia="宋体"/>
                <w:b w:val="0"/>
                <w:bCs w:val="0"/>
                <w:sz w:val="24"/>
                <w:szCs w:val="24"/>
                <w:lang w:val="en-US" w:eastAsia="zh-CN"/>
                <w14:ligatures w14:val="standardContextual"/>
              </w:rPr>
              <w:t>、教学方案的改进意见等）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ACA2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B745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8CCA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4A2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color="000000" w:sz="8" w:space="0"/>
            </w:tcBorders>
            <w:vAlign w:val="center"/>
          </w:tcPr>
          <w:p w14:paraId="297EBF06">
            <w:pPr>
              <w:jc w:val="center"/>
              <w:rPr>
                <w:sz w:val="24"/>
                <w:szCs w:val="24"/>
              </w:rPr>
            </w:pPr>
          </w:p>
        </w:tc>
      </w:tr>
      <w:tr w14:paraId="2B92F2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nil"/>
              <w:right w:val="nil"/>
            </w:tcBorders>
            <w:shd w:val="clear" w:color="auto" w:fill="CCCCCC" w:themeFill="text1" w:themeFillTint="33"/>
            <w:vAlign w:val="center"/>
          </w:tcPr>
          <w:p w14:paraId="20A9FA5C">
            <w:pPr>
              <w:spacing w:line="360" w:lineRule="auto"/>
              <w:rPr>
                <w:rFonts w:hint="default"/>
                <w:sz w:val="24"/>
                <w:szCs w:val="24"/>
                <w:lang w:val="en-US"/>
              </w:rPr>
            </w:pPr>
            <w:r>
              <w:rPr>
                <w:rFonts w:hint="eastAsia"/>
                <w:sz w:val="24"/>
                <w:szCs w:val="24"/>
              </w:rPr>
              <w:t>4、</w:t>
            </w:r>
            <w:r>
              <w:rPr>
                <w:rFonts w:hint="default" w:ascii="宋体" w:hAnsi="宋体" w:eastAsia="宋体"/>
                <w:b w:val="0"/>
                <w:bCs w:val="0"/>
                <w:sz w:val="24"/>
                <w:szCs w:val="24"/>
                <w:lang w:val="en-US" w:eastAsia="zh-CN"/>
                <w14:ligatures w14:val="standardContextual"/>
              </w:rPr>
              <w:t>团队合作能力</w:t>
            </w:r>
            <w:r>
              <w:rPr>
                <w:rFonts w:hint="eastAsia" w:ascii="宋体" w:hAnsi="宋体" w:eastAsia="宋体"/>
                <w:b w:val="0"/>
                <w:bCs w:val="0"/>
                <w:sz w:val="24"/>
                <w:szCs w:val="24"/>
                <w:lang w:val="en-US" w:eastAsia="zh-CN"/>
                <w14:ligatures w14:val="standardContextual"/>
              </w:rPr>
              <w:t>的加强（如</w:t>
            </w:r>
            <w:r>
              <w:rPr>
                <w:rFonts w:hint="default" w:ascii="宋体" w:hAnsi="宋体" w:eastAsia="宋体"/>
                <w:b w:val="0"/>
                <w:bCs w:val="0"/>
                <w:sz w:val="24"/>
                <w:szCs w:val="24"/>
                <w:lang w:val="en-US" w:eastAsia="zh-CN"/>
                <w14:ligatures w14:val="standardContextual"/>
              </w:rPr>
              <w:t>小组协作效率与沟通质量</w:t>
            </w:r>
            <w:r>
              <w:rPr>
                <w:rFonts w:hint="eastAsia" w:ascii="宋体" w:hAnsi="宋体" w:eastAsia="宋体"/>
                <w:b w:val="0"/>
                <w:bCs w:val="0"/>
                <w:sz w:val="24"/>
                <w:szCs w:val="24"/>
                <w:lang w:val="en-US" w:eastAsia="zh-CN"/>
                <w14:ligatures w14:val="standardContextual"/>
              </w:rPr>
              <w:t>、病例讨论参与程度等）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CCCCCC" w:themeFill="text1" w:themeFillTint="33"/>
            <w:vAlign w:val="center"/>
          </w:tcPr>
          <w:p w14:paraId="69B5ABB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CCCCCC" w:themeFill="text1" w:themeFillTint="33"/>
            <w:vAlign w:val="center"/>
          </w:tcPr>
          <w:p w14:paraId="06F495B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CCCCCC" w:themeFill="text1" w:themeFillTint="33"/>
            <w:vAlign w:val="center"/>
          </w:tcPr>
          <w:p w14:paraId="745A60E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CCCCCC" w:themeFill="text1" w:themeFillTint="33"/>
            <w:vAlign w:val="center"/>
          </w:tcPr>
          <w:p w14:paraId="2D10DB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color="000000" w:sz="8" w:space="0"/>
            </w:tcBorders>
            <w:shd w:val="clear" w:color="auto" w:fill="CCCCCC" w:themeFill="text1" w:themeFillTint="33"/>
            <w:vAlign w:val="center"/>
          </w:tcPr>
          <w:p w14:paraId="4A977C0E">
            <w:pPr>
              <w:jc w:val="center"/>
              <w:rPr>
                <w:sz w:val="24"/>
                <w:szCs w:val="24"/>
              </w:rPr>
            </w:pPr>
          </w:p>
        </w:tc>
      </w:tr>
      <w:tr w14:paraId="567972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vAlign w:val="center"/>
          </w:tcPr>
          <w:p w14:paraId="737F5054">
            <w:pPr>
              <w:spacing w:line="360" w:lineRule="auto"/>
              <w:rPr>
                <w:rFonts w:hint="default"/>
                <w:sz w:val="24"/>
                <w:szCs w:val="24"/>
                <w:lang w:val="en-US"/>
              </w:rPr>
            </w:pPr>
            <w:r>
              <w:rPr>
                <w:rFonts w:hint="eastAsia"/>
                <w:sz w:val="24"/>
                <w:szCs w:val="24"/>
              </w:rPr>
              <w:t>5、</w:t>
            </w:r>
            <w:r>
              <w:rPr>
                <w:rFonts w:hint="default" w:ascii="宋体" w:hAnsi="宋体" w:eastAsia="宋体"/>
                <w:b w:val="0"/>
                <w:bCs w:val="0"/>
                <w:sz w:val="24"/>
                <w:szCs w:val="24"/>
                <w:lang w:val="en-US" w:eastAsia="zh-CN"/>
                <w14:ligatures w14:val="standardContextual"/>
              </w:rPr>
              <w:t>人文关怀</w:t>
            </w:r>
            <w:r>
              <w:rPr>
                <w:rFonts w:hint="eastAsia" w:ascii="宋体" w:hAnsi="宋体" w:eastAsia="宋体"/>
                <w:b w:val="0"/>
                <w:bCs w:val="0"/>
                <w:sz w:val="24"/>
                <w:szCs w:val="24"/>
                <w:lang w:val="en-US" w:eastAsia="zh-CN"/>
                <w14:ligatures w14:val="standardContextual"/>
              </w:rPr>
              <w:t>的加强（如</w:t>
            </w:r>
            <w:r>
              <w:rPr>
                <w:rFonts w:hint="default" w:ascii="宋体" w:hAnsi="宋体" w:eastAsia="宋体"/>
                <w:b w:val="0"/>
                <w:bCs w:val="0"/>
                <w:sz w:val="24"/>
                <w:szCs w:val="24"/>
                <w:lang w:val="en-US" w:eastAsia="zh-CN"/>
                <w14:ligatures w14:val="standardContextual"/>
              </w:rPr>
              <w:t>医患沟通与患者心理关注意识</w:t>
            </w:r>
            <w:r>
              <w:rPr>
                <w:rFonts w:hint="eastAsia" w:ascii="宋体" w:hAnsi="宋体" w:eastAsia="宋体"/>
                <w:b w:val="0"/>
                <w:bCs w:val="0"/>
                <w:sz w:val="24"/>
                <w:szCs w:val="24"/>
                <w:lang w:val="en-US" w:eastAsia="zh-CN"/>
                <w14:ligatures w14:val="standardContextual"/>
              </w:rPr>
              <w:t>）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000000" w:sz="8" w:space="0"/>
              <w:right w:val="nil"/>
            </w:tcBorders>
            <w:vAlign w:val="center"/>
          </w:tcPr>
          <w:p w14:paraId="77080CD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000000" w:sz="8" w:space="0"/>
              <w:right w:val="nil"/>
            </w:tcBorders>
            <w:vAlign w:val="center"/>
          </w:tcPr>
          <w:p w14:paraId="43CF7C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000000" w:sz="8" w:space="0"/>
              <w:right w:val="nil"/>
            </w:tcBorders>
            <w:vAlign w:val="center"/>
          </w:tcPr>
          <w:p w14:paraId="5D2A33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000000" w:sz="8" w:space="0"/>
              <w:right w:val="nil"/>
            </w:tcBorders>
            <w:vAlign w:val="center"/>
          </w:tcPr>
          <w:p w14:paraId="521916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4B991F12">
            <w:pPr>
              <w:jc w:val="center"/>
              <w:rPr>
                <w:sz w:val="24"/>
                <w:szCs w:val="24"/>
              </w:rPr>
            </w:pPr>
          </w:p>
        </w:tc>
      </w:tr>
    </w:tbl>
    <w:p w14:paraId="447A5BBF">
      <w:pPr>
        <w:rPr>
          <w:rFonts w:hint="eastAsia"/>
          <w:sz w:val="24"/>
          <w:szCs w:val="24"/>
        </w:rPr>
      </w:pPr>
    </w:p>
    <w:p w14:paraId="5FA9B98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 After-class Teaching Effect Questionnaire contents:</w:t>
      </w:r>
    </w:p>
    <w:p w14:paraId="7215B986">
      <w:pPr>
        <w:rPr>
          <w:rFonts w:hint="eastAsia"/>
          <w:sz w:val="24"/>
          <w:szCs w:val="24"/>
        </w:rPr>
      </w:pPr>
    </w:p>
    <w:tbl>
      <w:tblPr>
        <w:tblStyle w:val="4"/>
        <w:tblW w:w="9563" w:type="dxa"/>
        <w:tblInd w:w="-299" w:type="dxa"/>
        <w:tblBorders>
          <w:top w:val="single" w:color="666666" w:themeColor="text1" w:themeTint="99" w:sz="4" w:space="0"/>
          <w:left w:val="single" w:color="666666" w:themeColor="text1" w:themeTint="99" w:sz="4" w:space="0"/>
          <w:bottom w:val="single" w:color="666666" w:themeColor="text1" w:themeTint="99" w:sz="4" w:space="0"/>
          <w:right w:val="single" w:color="666666" w:themeColor="text1" w:themeTint="99" w:sz="4" w:space="0"/>
          <w:insideH w:val="single" w:color="666666" w:themeColor="text1" w:themeTint="99" w:sz="4" w:space="0"/>
          <w:insideV w:val="single" w:color="666666" w:themeColor="text1" w:themeTint="99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93"/>
        <w:gridCol w:w="1134"/>
        <w:gridCol w:w="1134"/>
        <w:gridCol w:w="1134"/>
        <w:gridCol w:w="1134"/>
        <w:gridCol w:w="1134"/>
      </w:tblGrid>
      <w:tr w14:paraId="0915C110">
        <w:tblPrEx>
          <w:tblBorders>
            <w:top w:val="single" w:color="666666" w:themeColor="text1" w:themeTint="99" w:sz="4" w:space="0"/>
            <w:left w:val="single" w:color="666666" w:themeColor="text1" w:themeTint="99" w:sz="4" w:space="0"/>
            <w:bottom w:val="single" w:color="666666" w:themeColor="text1" w:themeTint="99" w:sz="4" w:space="0"/>
            <w:right w:val="single" w:color="666666" w:themeColor="text1" w:themeTint="99" w:sz="4" w:space="0"/>
            <w:insideH w:val="single" w:color="666666" w:themeColor="text1" w:themeTint="99" w:sz="4" w:space="0"/>
            <w:insideV w:val="single" w:color="666666" w:themeColor="text1" w:themeTint="9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0" w:type="auto"/>
            <w:vMerge w:val="restar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nil"/>
              <w:insideV w:val="nil"/>
            </w:tcBorders>
            <w:shd w:val="clear" w:color="auto" w:fill="auto"/>
            <w:vAlign w:val="center"/>
          </w:tcPr>
          <w:p w14:paraId="2E9047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Content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nil"/>
              <w:insideV w:val="nil"/>
            </w:tcBorders>
            <w:shd w:val="clear" w:color="auto" w:fill="auto"/>
            <w:vAlign w:val="center"/>
          </w:tcPr>
          <w:p w14:paraId="551EA54C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cs="Times New Roman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worse</w:t>
            </w:r>
          </w:p>
          <w:p w14:paraId="321D614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nil"/>
              <w:insideV w:val="nil"/>
            </w:tcBorders>
            <w:shd w:val="clear" w:color="auto" w:fill="auto"/>
            <w:vAlign w:val="center"/>
          </w:tcPr>
          <w:p w14:paraId="12A0D2BB">
            <w:pPr>
              <w:jc w:val="center"/>
              <w:rPr>
                <w:rFonts w:hint="eastAsia" w:ascii="Times New Roman" w:cs="Times New Roman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cs="Times New Roman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poor</w:t>
            </w:r>
          </w:p>
          <w:p w14:paraId="6EED9B1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nil"/>
              <w:insideV w:val="nil"/>
            </w:tcBorders>
            <w:shd w:val="clear" w:color="auto" w:fill="auto"/>
            <w:vAlign w:val="center"/>
          </w:tcPr>
          <w:p w14:paraId="2B4FBE9A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cs="Times New Roman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average</w:t>
            </w:r>
          </w:p>
          <w:p w14:paraId="0DC91E58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nil"/>
              <w:insideV w:val="nil"/>
            </w:tcBorders>
            <w:shd w:val="clear" w:color="auto" w:fill="auto"/>
            <w:vAlign w:val="center"/>
          </w:tcPr>
          <w:p w14:paraId="1DB2AB00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cs="Times New Roman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good</w:t>
            </w:r>
          </w:p>
          <w:p w14:paraId="74FA86FA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  <w:insideV w:val="nil"/>
            </w:tcBorders>
            <w:shd w:val="clear" w:color="auto" w:fill="auto"/>
            <w:vAlign w:val="center"/>
          </w:tcPr>
          <w:p w14:paraId="07659A64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cs="Times New Roman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excellent</w:t>
            </w:r>
          </w:p>
          <w:p w14:paraId="12D424A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1EE130F">
        <w:tblPrEx>
          <w:tblBorders>
            <w:top w:val="single" w:color="666666" w:themeColor="text1" w:themeTint="99" w:sz="4" w:space="0"/>
            <w:left w:val="single" w:color="666666" w:themeColor="text1" w:themeTint="99" w:sz="4" w:space="0"/>
            <w:bottom w:val="single" w:color="666666" w:themeColor="text1" w:themeTint="99" w:sz="4" w:space="0"/>
            <w:right w:val="single" w:color="666666" w:themeColor="text1" w:themeTint="99" w:sz="4" w:space="0"/>
            <w:insideH w:val="single" w:color="666666" w:themeColor="text1" w:themeTint="99" w:sz="4" w:space="0"/>
            <w:insideV w:val="single" w:color="666666" w:themeColor="text1" w:themeTint="9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shd w:val="clear" w:color="auto" w:fill="auto"/>
            <w:vAlign w:val="center"/>
          </w:tcPr>
          <w:p w14:paraId="0C9D7A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vAlign w:val="center"/>
          </w:tcPr>
          <w:p w14:paraId="3A84FC2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vAlign w:val="center"/>
          </w:tcPr>
          <w:p w14:paraId="31A0B35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vAlign w:val="center"/>
          </w:tcPr>
          <w:p w14:paraId="4F4791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vAlign w:val="center"/>
          </w:tcPr>
          <w:p w14:paraId="57947C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33DD39F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</w:tr>
      <w:tr w14:paraId="14C704C5">
        <w:tblPrEx>
          <w:tblBorders>
            <w:top w:val="single" w:color="666666" w:themeColor="text1" w:themeTint="99" w:sz="4" w:space="0"/>
            <w:left w:val="single" w:color="666666" w:themeColor="text1" w:themeTint="99" w:sz="4" w:space="0"/>
            <w:bottom w:val="single" w:color="666666" w:themeColor="text1" w:themeTint="99" w:sz="4" w:space="0"/>
            <w:right w:val="single" w:color="666666" w:themeColor="text1" w:themeTint="99" w:sz="4" w:space="0"/>
            <w:insideH w:val="single" w:color="666666" w:themeColor="text1" w:themeTint="99" w:sz="4" w:space="0"/>
            <w:insideV w:val="single" w:color="666666" w:themeColor="text1" w:themeTint="9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auto" w:sz="12" w:space="0"/>
              <w:left w:val="single" w:color="auto" w:sz="12" w:space="0"/>
            </w:tcBorders>
          </w:tcPr>
          <w:p w14:paraId="416800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 xml:space="preserve">Degree of understanding and mastery of theoretical knowledge in 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breast surgery</w:t>
            </w:r>
            <w:bookmarkStart w:id="0" w:name="_GoBack"/>
            <w:bookmarkEnd w:id="0"/>
            <w:r>
              <w:rPr>
                <w:rFonts w:hint="eastAsia" w:ascii="Times New Roman" w:hAnsi="Times New Roman" w:cs="Times New Roman"/>
                <w:sz w:val="24"/>
                <w:szCs w:val="24"/>
              </w:rPr>
              <w:t xml:space="preserve"> (e.g., pathological mechanisms of breast diseases, diagnosis and treatment guidelines, etc.)</w:t>
            </w:r>
          </w:p>
        </w:tc>
        <w:tc>
          <w:tcPr>
            <w:tcW w:w="1134" w:type="dxa"/>
            <w:tcBorders>
              <w:top w:val="single" w:color="auto" w:sz="12" w:space="0"/>
            </w:tcBorders>
            <w:vAlign w:val="center"/>
          </w:tcPr>
          <w:p w14:paraId="57B4C2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color="auto" w:sz="12" w:space="0"/>
            </w:tcBorders>
            <w:vAlign w:val="center"/>
          </w:tcPr>
          <w:p w14:paraId="04EA0E9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color="auto" w:sz="12" w:space="0"/>
            </w:tcBorders>
            <w:vAlign w:val="center"/>
          </w:tcPr>
          <w:p w14:paraId="02A08EA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color="auto" w:sz="12" w:space="0"/>
            </w:tcBorders>
            <w:vAlign w:val="center"/>
          </w:tcPr>
          <w:p w14:paraId="4ECF532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480FB7F6">
            <w:pPr>
              <w:jc w:val="center"/>
              <w:rPr>
                <w:sz w:val="24"/>
                <w:szCs w:val="24"/>
              </w:rPr>
            </w:pPr>
          </w:p>
        </w:tc>
      </w:tr>
      <w:tr w14:paraId="3DDC0261">
        <w:tblPrEx>
          <w:tblBorders>
            <w:top w:val="single" w:color="666666" w:themeColor="text1" w:themeTint="99" w:sz="4" w:space="0"/>
            <w:left w:val="single" w:color="666666" w:themeColor="text1" w:themeTint="99" w:sz="4" w:space="0"/>
            <w:bottom w:val="single" w:color="666666" w:themeColor="text1" w:themeTint="99" w:sz="4" w:space="0"/>
            <w:right w:val="single" w:color="666666" w:themeColor="text1" w:themeTint="99" w:sz="4" w:space="0"/>
            <w:insideH w:val="single" w:color="666666" w:themeColor="text1" w:themeTint="99" w:sz="4" w:space="0"/>
            <w:insideV w:val="single" w:color="666666" w:themeColor="text1" w:themeTint="9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left w:val="single" w:color="auto" w:sz="12" w:space="0"/>
            </w:tcBorders>
            <w:shd w:val="clear" w:color="auto" w:fill="CCCCCC" w:themeFill="text1" w:themeFillTint="33"/>
          </w:tcPr>
          <w:p w14:paraId="0D9ACC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>Enhancement of autonomous learning ability (e.g., taking the initiative to search for relevant extended knowledge after class, acquisition of literature and guidelines, etc.)</w:t>
            </w:r>
          </w:p>
        </w:tc>
        <w:tc>
          <w:tcPr>
            <w:tcW w:w="1134" w:type="dxa"/>
            <w:shd w:val="clear" w:color="auto" w:fill="CCCCCC" w:themeFill="text1" w:themeFillTint="33"/>
            <w:vAlign w:val="center"/>
          </w:tcPr>
          <w:p w14:paraId="6B7A46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CCCCCC" w:themeFill="text1" w:themeFillTint="33"/>
            <w:vAlign w:val="center"/>
          </w:tcPr>
          <w:p w14:paraId="2A4F3A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CCCCCC" w:themeFill="text1" w:themeFillTint="33"/>
            <w:vAlign w:val="center"/>
          </w:tcPr>
          <w:p w14:paraId="50EE01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CCCCCC" w:themeFill="text1" w:themeFillTint="33"/>
            <w:vAlign w:val="center"/>
          </w:tcPr>
          <w:p w14:paraId="2DA3945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color="auto" w:sz="12" w:space="0"/>
            </w:tcBorders>
            <w:shd w:val="clear" w:color="auto" w:fill="CCCCCC" w:themeFill="text1" w:themeFillTint="33"/>
            <w:vAlign w:val="center"/>
          </w:tcPr>
          <w:p w14:paraId="050F8A6C">
            <w:pPr>
              <w:jc w:val="center"/>
              <w:rPr>
                <w:sz w:val="24"/>
                <w:szCs w:val="24"/>
              </w:rPr>
            </w:pPr>
          </w:p>
        </w:tc>
      </w:tr>
      <w:tr w14:paraId="68CEF28A">
        <w:tblPrEx>
          <w:tblBorders>
            <w:top w:val="single" w:color="666666" w:themeColor="text1" w:themeTint="99" w:sz="4" w:space="0"/>
            <w:left w:val="single" w:color="666666" w:themeColor="text1" w:themeTint="99" w:sz="4" w:space="0"/>
            <w:bottom w:val="single" w:color="666666" w:themeColor="text1" w:themeTint="99" w:sz="4" w:space="0"/>
            <w:right w:val="single" w:color="666666" w:themeColor="text1" w:themeTint="99" w:sz="4" w:space="0"/>
            <w:insideH w:val="single" w:color="666666" w:themeColor="text1" w:themeTint="99" w:sz="4" w:space="0"/>
            <w:insideV w:val="single" w:color="666666" w:themeColor="text1" w:themeTint="9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left w:val="single" w:color="auto" w:sz="12" w:space="0"/>
            </w:tcBorders>
          </w:tcPr>
          <w:p w14:paraId="401A7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 xml:space="preserve"> Enhancement of innovative ability (e.g., ideas for optimizing diagnosis and treatment plans, suggestions for improving teaching programs, etc.)</w:t>
            </w:r>
          </w:p>
        </w:tc>
        <w:tc>
          <w:tcPr>
            <w:tcW w:w="1134" w:type="dxa"/>
            <w:vAlign w:val="center"/>
          </w:tcPr>
          <w:p w14:paraId="5A093A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4E361B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41E7B07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3F2769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color="auto" w:sz="12" w:space="0"/>
            </w:tcBorders>
            <w:vAlign w:val="center"/>
          </w:tcPr>
          <w:p w14:paraId="43573A09">
            <w:pPr>
              <w:jc w:val="center"/>
              <w:rPr>
                <w:sz w:val="24"/>
                <w:szCs w:val="24"/>
              </w:rPr>
            </w:pPr>
          </w:p>
        </w:tc>
      </w:tr>
      <w:tr w14:paraId="4D6F5F11">
        <w:tblPrEx>
          <w:tblBorders>
            <w:top w:val="single" w:color="666666" w:themeColor="text1" w:themeTint="99" w:sz="4" w:space="0"/>
            <w:left w:val="single" w:color="666666" w:themeColor="text1" w:themeTint="99" w:sz="4" w:space="0"/>
            <w:bottom w:val="single" w:color="666666" w:themeColor="text1" w:themeTint="99" w:sz="4" w:space="0"/>
            <w:right w:val="single" w:color="666666" w:themeColor="text1" w:themeTint="99" w:sz="4" w:space="0"/>
            <w:insideH w:val="single" w:color="666666" w:themeColor="text1" w:themeTint="99" w:sz="4" w:space="0"/>
            <w:insideV w:val="single" w:color="666666" w:themeColor="text1" w:themeTint="9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left w:val="single" w:color="auto" w:sz="12" w:space="0"/>
            </w:tcBorders>
            <w:shd w:val="clear" w:color="auto" w:fill="CCCCCC" w:themeFill="text1" w:themeFillTint="33"/>
          </w:tcPr>
          <w:p w14:paraId="138AD9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 xml:space="preserve"> Enhancement of teamwork ability (e.g., efficiency of group collaboration, quality of communication, level of participation in case discussions, etc.)</w:t>
            </w:r>
          </w:p>
        </w:tc>
        <w:tc>
          <w:tcPr>
            <w:tcW w:w="1134" w:type="dxa"/>
            <w:shd w:val="clear" w:color="auto" w:fill="CCCCCC" w:themeFill="text1" w:themeFillTint="33"/>
            <w:vAlign w:val="center"/>
          </w:tcPr>
          <w:p w14:paraId="042FD3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CCCCCC" w:themeFill="text1" w:themeFillTint="33"/>
            <w:vAlign w:val="center"/>
          </w:tcPr>
          <w:p w14:paraId="53A382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CCCCCC" w:themeFill="text1" w:themeFillTint="33"/>
            <w:vAlign w:val="center"/>
          </w:tcPr>
          <w:p w14:paraId="3FDFD95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CCCCCC" w:themeFill="text1" w:themeFillTint="33"/>
            <w:vAlign w:val="center"/>
          </w:tcPr>
          <w:p w14:paraId="2A43977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color="auto" w:sz="12" w:space="0"/>
            </w:tcBorders>
            <w:shd w:val="clear" w:color="auto" w:fill="CCCCCC" w:themeFill="text1" w:themeFillTint="33"/>
            <w:vAlign w:val="center"/>
          </w:tcPr>
          <w:p w14:paraId="17B8C1B4">
            <w:pPr>
              <w:jc w:val="center"/>
              <w:rPr>
                <w:sz w:val="24"/>
                <w:szCs w:val="24"/>
              </w:rPr>
            </w:pPr>
          </w:p>
        </w:tc>
      </w:tr>
      <w:tr w14:paraId="66B6E4C3">
        <w:tblPrEx>
          <w:tblBorders>
            <w:top w:val="single" w:color="666666" w:themeColor="text1" w:themeTint="99" w:sz="4" w:space="0"/>
            <w:left w:val="single" w:color="666666" w:themeColor="text1" w:themeTint="99" w:sz="4" w:space="0"/>
            <w:bottom w:val="single" w:color="666666" w:themeColor="text1" w:themeTint="99" w:sz="4" w:space="0"/>
            <w:right w:val="single" w:color="666666" w:themeColor="text1" w:themeTint="99" w:sz="4" w:space="0"/>
            <w:insideH w:val="single" w:color="666666" w:themeColor="text1" w:themeTint="99" w:sz="4" w:space="0"/>
            <w:insideV w:val="single" w:color="666666" w:themeColor="text1" w:themeTint="9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left w:val="single" w:color="auto" w:sz="12" w:space="0"/>
            </w:tcBorders>
          </w:tcPr>
          <w:p w14:paraId="5BBE07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>Enhancement of humanistic care awareness (e.g., doctor-patient communication, awareness of paying attention to patients' psychology, etc.)</w:t>
            </w:r>
          </w:p>
        </w:tc>
        <w:tc>
          <w:tcPr>
            <w:tcW w:w="1134" w:type="dxa"/>
            <w:vAlign w:val="center"/>
          </w:tcPr>
          <w:p w14:paraId="21608EB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77290BD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0842769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2C4D962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color="auto" w:sz="12" w:space="0"/>
            </w:tcBorders>
            <w:vAlign w:val="center"/>
          </w:tcPr>
          <w:p w14:paraId="1296D2A5">
            <w:pPr>
              <w:jc w:val="center"/>
              <w:rPr>
                <w:sz w:val="24"/>
                <w:szCs w:val="24"/>
              </w:rPr>
            </w:pPr>
          </w:p>
        </w:tc>
      </w:tr>
    </w:tbl>
    <w:p w14:paraId="35D95051">
      <w:pPr>
        <w:rPr>
          <w:rFonts w:hint="eastAsia" w:ascii="Times New Roman" w:hAnsi="Times New Roman" w:cs="Times New Roman"/>
          <w:sz w:val="24"/>
          <w:szCs w:val="24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9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F7C6FB5"/>
    <w:rsid w:val="028A3213"/>
    <w:rsid w:val="20826687"/>
    <w:rsid w:val="4F7C6FB5"/>
    <w:rsid w:val="5CA74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Grid Table 4"/>
    <w:basedOn w:val="2"/>
    <w:qFormat/>
    <w:uiPriority w:val="49"/>
    <w:tblPr>
      <w:tblBorders>
        <w:top w:val="single" w:color="666666" w:themeColor="text1" w:themeTint="99" w:sz="4" w:space="0"/>
        <w:left w:val="single" w:color="666666" w:themeColor="text1" w:themeTint="99" w:sz="4" w:space="0"/>
        <w:bottom w:val="single" w:color="666666" w:themeColor="text1" w:themeTint="99" w:sz="4" w:space="0"/>
        <w:right w:val="single" w:color="666666" w:themeColor="text1" w:themeTint="99" w:sz="4" w:space="0"/>
        <w:insideH w:val="single" w:color="666666" w:themeColor="text1" w:themeTint="99" w:sz="4" w:space="0"/>
        <w:insideV w:val="single" w:color="666666" w:themeColor="text1" w:themeTint="99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cPr>
        <w:tcBorders>
          <w:top w:val="double" w:color="000000" w:themeColor="tex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CCCCCC" w:themeFill="text1" w:themeFillTint="33"/>
      </w:tcPr>
    </w:tblStylePr>
    <w:tblStylePr w:type="band1Horz">
      <w:tcPr>
        <w:shd w:val="clear" w:color="auto" w:fill="CCCCCC" w:themeFill="text1" w:themeFillTint="33"/>
      </w:tcPr>
    </w:tblStyle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681</Words>
  <Characters>2005</Characters>
  <Lines>0</Lines>
  <Paragraphs>0</Paragraphs>
  <TotalTime>7</TotalTime>
  <ScaleCrop>false</ScaleCrop>
  <LinksUpToDate>false</LinksUpToDate>
  <CharactersWithSpaces>2336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2025-10-24T10:17:00Z</dcterms:created>
  <dc:creator>End of the day</dc:creator>
  <cp:lastModifiedBy>End of the day</cp:lastModifiedBy>
  <dcterms:modified xsi:type="dcterms:W3CDTF">2025-12-04T13:47:42Z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198E1B10F8C54A66891E47DC3E82A5B2_11</vt:lpwstr>
  </property>
  <property fmtid="{D5CDD505-2E9C-101B-9397-08002B2CF9AE}" pid="4" name="KSOTemplateDocerSaveRecord">
    <vt:lpwstr>eyJoZGlkIjoiMzk3MzA3MmY3MDg3NmU2NDQ2NDE1NDIxYWFkNmY4ZTEiLCJ1c2VySWQiOiIzMjYzODcxMTcifQ==</vt:lpwstr>
  </property>
</Properties>
</file>