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tables-14-round-1-revision"/>
    <w:p>
      <w:pPr>
        <w:pStyle w:val="Heading1"/>
      </w:pPr>
      <w:r>
        <w:t>Supplementary Materials</w:t>
      </w:r>
    </w:p>
    <w:p>
      <w:r>
        <w:pict>
          <v:rect style="width:0;height:1.5pt" o:hralign="center" o:hrstd="t" o:hr="t"/>
        </w:pict>
      </w:r>
    </w:p>
    <w:bookmarkStart w:id="9" w:name="Xfceeb2a50c5c70c9e7b21a746913c96cfd2ac21"/>
    <w:p>
      <w:pPr>
        <w:pStyle w:val="Heading2"/>
      </w:pPr>
      <w:r>
        <w:t>Table S1. Characteristics of Included Studies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Study</w:t>
            </w:r>
          </w:p>
        </w:tc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Country</w:t>
            </w:r>
          </w:p>
        </w:tc>
        <w:tc>
          <w:tcPr/>
          <w:p>
            <w:pPr>
              <w:pStyle w:val="Compact"/>
            </w:pPr>
            <w:r>
              <w:t xml:space="preserve">Population</w:t>
            </w:r>
          </w:p>
        </w:tc>
        <w:tc>
          <w:tcPr/>
          <w:p>
            <w:pPr>
              <w:pStyle w:val="Compact"/>
            </w:pPr>
            <w:r>
              <w:t xml:space="preserve">n (responses)</w:t>
            </w:r>
          </w:p>
        </w:tc>
        <w:tc>
          <w:tcPr/>
          <w:p>
            <w:pPr>
              <w:pStyle w:val="Compact"/>
            </w:pPr>
            <w:r>
              <w:t xml:space="preserve">Instrument</w:t>
            </w:r>
          </w:p>
        </w:tc>
        <w:tc>
          <w:tcPr/>
          <w:p>
            <w:pPr>
              <w:pStyle w:val="Compact"/>
            </w:pPr>
            <w:r>
              <w:t xml:space="preserve">Cut-point</w:t>
            </w:r>
          </w:p>
        </w:tc>
        <w:tc>
          <w:tcPr/>
          <w:p>
            <w:pPr>
              <w:pStyle w:val="Compact"/>
            </w:pPr>
            <w:r>
              <w:t xml:space="preserve">OR derivation</w:t>
            </w:r>
          </w:p>
        </w:tc>
        <w:tc>
          <w:tcPr/>
          <w:p>
            <w:pPr>
              <w:pStyle w:val="Compact"/>
            </w:pPr>
            <w:r>
              <w:t xml:space="preserve">OR (95% CI)</w:t>
            </w:r>
          </w:p>
        </w:tc>
        <w:tc>
          <w:tcPr/>
          <w:p>
            <w:pPr>
              <w:pStyle w:val="Compact"/>
            </w:pPr>
            <w:r>
              <w:t xml:space="preserve">Adjustment set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West et al.</w:t>
            </w:r>
          </w:p>
        </w:tc>
        <w:tc>
          <w:tcPr/>
          <w:p>
            <w:pPr>
              <w:pStyle w:val="Compact"/>
            </w:pPr>
            <w:r>
              <w:t xml:space="preserve">2011</w:t>
            </w:r>
          </w:p>
        </w:tc>
        <w:tc>
          <w:tcPr/>
          <w:p>
            <w:pPr>
              <w:pStyle w:val="Compact"/>
            </w:pPr>
            <w:r>
              <w:t xml:space="preserve">US</w:t>
            </w:r>
          </w:p>
        </w:tc>
        <w:tc>
          <w:tcPr/>
          <w:p>
            <w:pPr>
              <w:pStyle w:val="Compact"/>
            </w:pPr>
            <w:r>
              <w:t xml:space="preserve">Internal medicine residents</w:t>
            </w:r>
          </w:p>
        </w:tc>
        <w:tc>
          <w:tcPr/>
          <w:p>
            <w:pPr>
              <w:pStyle w:val="Compact"/>
            </w:pPr>
            <w:r>
              <w:t xml:space="preserve">16,394 (7,743 USMG + 8,571 IMG)</w:t>
            </w:r>
          </w:p>
        </w:tc>
        <w:tc>
          <w:tcPr/>
          <w:p>
            <w:pPr>
              <w:pStyle w:val="Compact"/>
            </w:pPr>
            <w:r>
              <w:t xml:space="preserve">Single-item burnout (≥1/week emotional exhaustion or depersonalisation)</w:t>
            </w:r>
          </w:p>
        </w:tc>
        <w:tc>
          <w:tcPr/>
          <w:p>
            <w:pPr>
              <w:pStyle w:val="Compact"/>
            </w:pPr>
            <w:r>
              <w:t xml:space="preserve">EE or DP ≥1/week</w:t>
            </w:r>
          </w:p>
        </w:tc>
        <w:tc>
          <w:tcPr/>
          <w:p>
            <w:pPr>
              <w:pStyle w:val="Compact"/>
            </w:pPr>
            <w:r>
              <w:t xml:space="preserve">Adjusted multivariable logistic regression</w:t>
            </w:r>
          </w:p>
        </w:tc>
        <w:tc>
          <w:tcPr/>
          <w:p>
            <w:pPr>
              <w:pStyle w:val="Compact"/>
            </w:pPr>
            <w:r>
              <w:t xml:space="preserve">0.70 (0.65–0.76) †</w:t>
            </w:r>
          </w:p>
        </w:tc>
        <w:tc>
          <w:tcPr/>
          <w:p>
            <w:pPr>
              <w:pStyle w:val="Compact"/>
            </w:pPr>
            <w:r>
              <w:t xml:space="preserve">Specialty year, sex, age, marital status, debt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Al-Haddad et al. (2019 wave)</w:t>
            </w:r>
          </w:p>
        </w:tc>
        <w:tc>
          <w:tcPr/>
          <w:p>
            <w:pPr>
              <w:pStyle w:val="Compact"/>
            </w:pPr>
            <w:r>
              <w:t xml:space="preserve">2019</w:t>
            </w:r>
          </w:p>
        </w:tc>
        <w:tc>
          <w:tcPr/>
          <w:p>
            <w:pPr>
              <w:pStyle w:val="Compact"/>
            </w:pPr>
            <w:r>
              <w:t xml:space="preserve">UK</w:t>
            </w:r>
          </w:p>
        </w:tc>
        <w:tc>
          <w:tcPr/>
          <w:p>
            <w:pPr>
              <w:pStyle w:val="Compact"/>
            </w:pPr>
            <w:r>
              <w:t xml:space="preserve">GMC National Training Survey trainees</w:t>
            </w:r>
          </w:p>
        </w:tc>
        <w:tc>
          <w:tcPr/>
          <w:p>
            <w:pPr>
              <w:pStyle w:val="Compact"/>
            </w:pPr>
            <w:r>
              <w:t xml:space="preserve">19,186</w:t>
            </w:r>
          </w:p>
        </w:tc>
        <w:tc>
          <w:tcPr/>
          <w:p>
            <w:pPr>
              <w:pStyle w:val="Compact"/>
            </w:pPr>
            <w:r>
              <w:t xml:space="preserve">Copenhagen Burnout Inventory (personal + work-related)</w:t>
            </w:r>
          </w:p>
        </w:tc>
        <w:tc>
          <w:tcPr/>
          <w:p>
            <w:pPr>
              <w:pStyle w:val="Compact"/>
            </w:pPr>
            <w:r>
              <w:t xml:space="preserve">Per GMC scoring guide</w:t>
            </w:r>
          </w:p>
        </w:tc>
        <w:tc>
          <w:tcPr/>
          <w:p>
            <w:pPr>
              <w:pStyle w:val="Compact"/>
            </w:pPr>
            <w:r>
              <w:t xml:space="preserve">Unadjusted 2×2 from published frequency table</w:t>
            </w:r>
          </w:p>
        </w:tc>
        <w:tc>
          <w:tcPr/>
          <w:p>
            <w:pPr>
              <w:pStyle w:val="Compact"/>
            </w:pPr>
            <w:r>
              <w:t xml:space="preserve">0.72 (0.68–0.76)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Al-Haddad et al. (2021 wave)</w:t>
            </w:r>
          </w:p>
        </w:tc>
        <w:tc>
          <w:tcPr/>
          <w:p>
            <w:pPr>
              <w:pStyle w:val="Compact"/>
            </w:pPr>
            <w:r>
              <w:t xml:space="preserve">2021</w:t>
            </w:r>
          </w:p>
        </w:tc>
        <w:tc>
          <w:tcPr/>
          <w:p>
            <w:pPr>
              <w:pStyle w:val="Compact"/>
            </w:pPr>
            <w:r>
              <w:t xml:space="preserve">UK</w:t>
            </w:r>
          </w:p>
        </w:tc>
        <w:tc>
          <w:tcPr/>
          <w:p>
            <w:pPr>
              <w:pStyle w:val="Compact"/>
            </w:pPr>
            <w:r>
              <w:t xml:space="preserve">GMC National Training Survey trainees</w:t>
            </w:r>
          </w:p>
        </w:tc>
        <w:tc>
          <w:tcPr/>
          <w:p>
            <w:pPr>
              <w:pStyle w:val="Compact"/>
            </w:pPr>
            <w:r>
              <w:t xml:space="preserve">44,863</w:t>
            </w:r>
          </w:p>
        </w:tc>
        <w:tc>
          <w:tcPr/>
          <w:p>
            <w:pPr>
              <w:pStyle w:val="Compact"/>
            </w:pPr>
            <w:r>
              <w:t xml:space="preserve">Copenhagen Burnout Inventory (personal + work-related)</w:t>
            </w:r>
          </w:p>
        </w:tc>
        <w:tc>
          <w:tcPr/>
          <w:p>
            <w:pPr>
              <w:pStyle w:val="Compact"/>
            </w:pPr>
            <w:r>
              <w:t xml:space="preserve">Per GMC scoring guide</w:t>
            </w:r>
          </w:p>
        </w:tc>
        <w:tc>
          <w:tcPr/>
          <w:p>
            <w:pPr>
              <w:pStyle w:val="Compact"/>
            </w:pPr>
            <w:r>
              <w:t xml:space="preserve">Unadjusted 2×2 from published frequency table</w:t>
            </w:r>
          </w:p>
        </w:tc>
        <w:tc>
          <w:tcPr/>
          <w:p>
            <w:pPr>
              <w:pStyle w:val="Compact"/>
            </w:pPr>
            <w:r>
              <w:t xml:space="preserve">0.76 (0.71–0.80)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 Onge et al.</w:t>
            </w:r>
          </w:p>
        </w:tc>
        <w:tc>
          <w:tcPr/>
          <w:p>
            <w:pPr>
              <w:pStyle w:val="Compact"/>
            </w:pPr>
            <w:r>
              <w:t xml:space="preserve">2022</w:t>
            </w:r>
          </w:p>
        </w:tc>
        <w:tc>
          <w:tcPr/>
          <w:p>
            <w:pPr>
              <w:pStyle w:val="Compact"/>
            </w:pPr>
            <w:r>
              <w:t xml:space="preserve">US</w:t>
            </w:r>
          </w:p>
        </w:tc>
        <w:tc>
          <w:tcPr/>
          <w:p>
            <w:pPr>
              <w:pStyle w:val="Compact"/>
            </w:pPr>
            <w:r>
              <w:t xml:space="preserve">First-year internal medicine residents (single program)</w:t>
            </w:r>
          </w:p>
        </w:tc>
        <w:tc>
          <w:tcPr/>
          <w:p>
            <w:pPr>
              <w:pStyle w:val="Compact"/>
            </w:pPr>
            <w:r>
              <w:t xml:space="preserve">222</w:t>
            </w:r>
          </w:p>
        </w:tc>
        <w:tc>
          <w:tcPr/>
          <w:p>
            <w:pPr>
              <w:pStyle w:val="Compact"/>
            </w:pPr>
            <w:r>
              <w:t xml:space="preserve">Copenhagen Burnout Inventory (work-related)</w:t>
            </w:r>
          </w:p>
        </w:tc>
        <w:tc>
          <w:tcPr/>
          <w:p>
            <w:pPr>
              <w:pStyle w:val="Compact"/>
            </w:pPr>
            <w:r>
              <w:t xml:space="preserve">As defined in original article ‡</w:t>
            </w:r>
          </w:p>
        </w:tc>
        <w:tc>
          <w:tcPr/>
          <w:p>
            <w:pPr>
              <w:pStyle w:val="Compact"/>
            </w:pPr>
            <w:r>
              <w:t xml:space="preserve">Published logistic-regression OR for dichotomous CBI burnout</w:t>
            </w:r>
          </w:p>
        </w:tc>
        <w:tc>
          <w:tcPr/>
          <w:p>
            <w:pPr>
              <w:pStyle w:val="Compact"/>
            </w:pPr>
            <w:r>
              <w:t xml:space="preserve">0.50 (0.25–0.99)</w:t>
            </w:r>
          </w:p>
        </w:tc>
        <w:tc>
          <w:tcPr/>
          <w:p>
            <w:pPr>
              <w:pStyle w:val="Compact"/>
            </w:pPr>
            <w:r>
              <w:t xml:space="preserve">Univariate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 et al.</w:t>
            </w:r>
          </w:p>
        </w:tc>
        <w:tc>
          <w:tcPr/>
          <w:p>
            <w:pPr>
              <w:pStyle w:val="Compact"/>
            </w:pPr>
            <w:r>
              <w:t xml:space="preserve">2024</w:t>
            </w:r>
          </w:p>
        </w:tc>
        <w:tc>
          <w:tcPr/>
          <w:p>
            <w:pPr>
              <w:pStyle w:val="Compact"/>
            </w:pPr>
            <w:r>
              <w:t xml:space="preserve">US</w:t>
            </w:r>
          </w:p>
        </w:tc>
        <w:tc>
          <w:tcPr/>
          <w:p>
            <w:pPr>
              <w:pStyle w:val="Compact"/>
            </w:pPr>
            <w:r>
              <w:t xml:space="preserve">Graduating family medicine residents (ABFM Initial Certification Questionnaire 2019–2021)</w:t>
            </w:r>
          </w:p>
        </w:tc>
        <w:tc>
          <w:tcPr/>
          <w:p>
            <w:pPr>
              <w:pStyle w:val="Compact"/>
            </w:pPr>
            <w:r>
              <w:t xml:space="preserve">11,570</w:t>
            </w:r>
          </w:p>
        </w:tc>
        <w:tc>
          <w:tcPr/>
          <w:p>
            <w:pPr>
              <w:pStyle w:val="Compact"/>
            </w:pPr>
            <w:r>
              <w:t xml:space="preserve">Single-item burnout (callousness or emotional exhaustion ≥1/week)</w:t>
            </w:r>
          </w:p>
        </w:tc>
        <w:tc>
          <w:tcPr/>
          <w:p>
            <w:pPr>
              <w:pStyle w:val="Compact"/>
            </w:pPr>
            <w:r>
              <w:t xml:space="preserve">Callousness or EE ≥1/week</w:t>
            </w:r>
          </w:p>
        </w:tc>
        <w:tc>
          <w:tcPr/>
          <w:p>
            <w:pPr>
              <w:pStyle w:val="Compact"/>
            </w:pPr>
            <w:r>
              <w:t xml:space="preserve">Adjusted multivariable logistic regression</w:t>
            </w:r>
          </w:p>
        </w:tc>
        <w:tc>
          <w:tcPr/>
          <w:p>
            <w:pPr>
              <w:pStyle w:val="Compact"/>
            </w:pPr>
            <w:r>
              <w:t xml:space="preserve">0.54 (0.48–0.60)</w:t>
            </w:r>
          </w:p>
        </w:tc>
        <w:tc>
          <w:tcPr/>
          <w:p>
            <w:pPr>
              <w:pStyle w:val="Compact"/>
            </w:pPr>
            <w:r>
              <w:t xml:space="preserve">Sex, age, race/ethnicity, debt, program type</w:t>
            </w:r>
          </w:p>
        </w:tc>
      </w:tr>
    </w:tbl>
    <w:p>
      <w:pPr>
        <w:pStyle w:val="BodyText"/>
      </w:pPr>
      <w:r>
        <w:rPr>
          <w:b/>
          <w:bCs/>
        </w:rPr>
        <w:t xml:space="preserve">Footnotes.</w:t>
      </w:r>
      <w:r>
        <w:t xml:space="preserve"> </w:t>
      </w:r>
      <w:r>
        <w:t xml:space="preserve">† West original 99% CI was 0.63–0.77; recalculated to 95% CI 0.65–0.76 by SE-on-log-scale conversion (SE = (log 0.77 − log 0.63) / 5.152 = 0.039).</w:t>
      </w:r>
      <w:r>
        <w:t xml:space="preserve"> </w:t>
      </w:r>
      <w:r>
        <w:t xml:space="preserve">‡ St Onge et al. dichotomised CBI burnout as scores higher than the average burnout reported for chief physicians in the PUMA reference study, applied across the three CBI subscales; the pooled OR is the published logistic-regression OR for this dichotomous outcome, not a recalculated 2×2 OR.</w:t>
      </w:r>
    </w:p>
    <w:p>
      <w:pPr>
        <w:pStyle w:val="BodyText"/>
      </w:pPr>
      <w:r>
        <w:rPr>
          <w:b/>
          <w:bCs/>
        </w:rPr>
        <w:t xml:space="preserve">Total physician-responses</w:t>
      </w:r>
      <w:r>
        <w:t xml:space="preserve">: 92,235 across all five effect sizes (k=5). Primary analysis uses Al-Haddad 2021 only, totalling 73,049 physician-responses (k=4).</w:t>
      </w:r>
    </w:p>
    <w:p>
      <w:r>
        <w:pict>
          <v:rect style="width:0;height:1.5pt" o:hralign="center" o:hrstd="t" o:hr="t"/>
        </w:pict>
      </w:r>
    </w:p>
    <w:bookmarkEnd w:id="9"/>
    <w:bookmarkStart w:id="10" w:name="X0c25e322ee91bdad843714aeb9addaf0d881e33"/>
    <w:p>
      <w:pPr>
        <w:pStyle w:val="Heading2"/>
      </w:pPr>
      <w:r>
        <w:t>Table S2. Risk-of-Bias Summary (Modified Newcastle-Ottawa Scale, Cross-Sectional Variant)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Study</w:t>
            </w:r>
          </w:p>
        </w:tc>
        <w:tc>
          <w:tcPr/>
          <w:p>
            <w:pPr>
              <w:pStyle w:val="Compact"/>
            </w:pPr>
            <w:r>
              <w:t xml:space="preserve">Selection (max 5)</w:t>
            </w:r>
          </w:p>
        </w:tc>
        <w:tc>
          <w:tcPr/>
          <w:p>
            <w:pPr>
              <w:pStyle w:val="Compact"/>
            </w:pPr>
            <w:r>
              <w:t xml:space="preserve">Comparability (max 2)</w:t>
            </w:r>
          </w:p>
        </w:tc>
        <w:tc>
          <w:tcPr/>
          <w:p>
            <w:pPr>
              <w:pStyle w:val="Compact"/>
            </w:pPr>
            <w:r>
              <w:t xml:space="preserve">Outcome (max 3)</w:t>
            </w:r>
          </w:p>
        </w:tc>
        <w:tc>
          <w:tcPr/>
          <w:p>
            <w:pPr>
              <w:pStyle w:val="Compact"/>
            </w:pPr>
            <w:r>
              <w:t xml:space="preserve">Total / 10</w:t>
            </w:r>
          </w:p>
        </w:tc>
        <w:tc>
          <w:tcPr/>
          <w:p>
            <w:pPr>
              <w:pStyle w:val="Compact"/>
            </w:pPr>
            <w:r>
              <w:t xml:space="preserve">Quality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West 2011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Adjusted regression; representative national sample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Al-Haddad 2019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  <w:tc>
          <w:tcPr/>
          <w:p>
            <w:pPr>
              <w:pStyle w:val="Compact"/>
            </w:pPr>
            <w:r>
              <w:t xml:space="preserve">Unadjusted; high response 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Al-Haddad 2021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  <w:tc>
          <w:tcPr/>
          <w:p>
            <w:pPr>
              <w:pStyle w:val="Compact"/>
            </w:pPr>
            <w:r>
              <w:t xml:space="preserve">Unadjusted; partially overlapping with 2019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 Onge 2022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  <w:tc>
          <w:tcPr/>
          <w:p>
            <w:pPr>
              <w:pStyle w:val="Compact"/>
            </w:pPr>
            <w:r>
              <w:t xml:space="preserve">Single-centre R1 sample; small 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 2024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Adjusted regression; near-census ABFM ICQ data</w:t>
            </w:r>
          </w:p>
        </w:tc>
      </w:tr>
    </w:tbl>
    <w:p>
      <w:pPr>
        <w:pStyle w:val="BodyText"/>
      </w:pPr>
      <w:r>
        <w:rPr>
          <w:b/>
          <w:bCs/>
        </w:rPr>
        <w:t xml:space="preserve">Inter-rater agreement</w:t>
      </w:r>
      <w:r>
        <w:t xml:space="preserve"> </w:t>
      </w:r>
      <w:r>
        <w:t xml:space="preserve">(Cohen’s κ across 3 reviewer pairs): inclusion decisions κ=0.81; RoB scoring κ=0.74. Disagreements adjudicated by a third reviewer; 6 of 38 RoB items required adjudication. Screening conducted in Covidence.</w:t>
      </w:r>
    </w:p>
    <w:p>
      <w:r>
        <w:pict>
          <v:rect style="width:0;height:1.5pt" o:hralign="center" o:hrstd="t" o:hr="t"/>
        </w:pict>
      </w:r>
    </w:p>
    <w:bookmarkEnd w:id="10"/>
    <w:bookmarkStart w:id="13" w:name="X384055ac0102fddeee84009d8225f139d48356d"/>
    <w:p>
      <w:pPr>
        <w:pStyle w:val="Heading2"/>
      </w:pPr>
      <w:r>
        <w:t>Table S3. Pooled Estimates — Primary, Secondary, Comparability, Sensitivity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Analysis</w:t>
            </w:r>
          </w:p>
        </w:tc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k</w:t>
            </w:r>
          </w:p>
        </w:tc>
        <w:tc>
          <w:tcPr/>
          <w:p>
            <w:pPr>
              <w:pStyle w:val="Compact"/>
            </w:pPr>
            <w:r>
              <w:t xml:space="preserve">Pooled OR (95% CI)</w:t>
            </w:r>
          </w:p>
        </w:tc>
        <w:tc>
          <w:tcPr/>
          <w:p>
            <w:pPr>
              <w:pStyle w:val="Compact"/>
            </w:pPr>
            <w:r>
              <w:t xml:space="preserve">95% Prediction Interval</w:t>
            </w:r>
          </w:p>
        </w:tc>
        <w:tc>
          <w:tcPr/>
          <w:p>
            <w:pPr>
              <w:pStyle w:val="Compact"/>
            </w:pPr>
            <w:r>
              <w:t xml:space="preserve">I²</w:t>
            </w:r>
          </w:p>
        </w:tc>
        <w:tc>
          <w:tcPr/>
          <w:p>
            <w:pPr>
              <w:pStyle w:val="Compact"/>
            </w:pPr>
            <w:r>
              <w:t xml:space="preserve">τ²</w:t>
            </w:r>
          </w:p>
        </w:tc>
        <w:tc>
          <w:tcPr/>
          <w:p>
            <w:pPr>
              <w:pStyle w:val="Compact"/>
            </w:pPr>
            <w:r>
              <w:t xml:space="preserve">Q (df), 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Primary</w:t>
            </w:r>
          </w:p>
        </w:tc>
        <w:tc>
          <w:tcPr/>
          <w:p>
            <w:pPr>
              <w:pStyle w:val="Compact"/>
            </w:pPr>
            <w:r>
              <w:t xml:space="preserve">HKSJ + Paule-Mandel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0.65 (0.49–0.87)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0.37–1.15</w:t>
            </w:r>
          </w:p>
        </w:tc>
        <w:tc>
          <w:tcPr/>
          <w:p>
            <w:pPr>
              <w:pStyle w:val="Compact"/>
            </w:pPr>
            <w:r>
              <w:t xml:space="preserve">90.3%</w:t>
            </w:r>
          </w:p>
        </w:tc>
        <w:tc>
          <w:tcPr/>
          <w:p>
            <w:pPr>
              <w:pStyle w:val="Compact"/>
            </w:pPr>
            <w:r>
              <w:t xml:space="preserve">0.0232</w:t>
            </w:r>
          </w:p>
        </w:tc>
        <w:tc>
          <w:tcPr/>
          <w:p>
            <w:pPr>
              <w:pStyle w:val="Compact"/>
            </w:pPr>
            <w:r>
              <w:t xml:space="preserve">28.98 (3), p&lt;0.001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Secondary</w:t>
            </w:r>
          </w:p>
        </w:tc>
        <w:tc>
          <w:tcPr/>
          <w:p>
            <w:pPr>
              <w:pStyle w:val="Compact"/>
            </w:pPr>
            <w:r>
              <w:t xml:space="preserve">HKSJ + REML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0.65 (0.49–0.87)</w:t>
            </w:r>
          </w:p>
        </w:tc>
        <w:tc>
          <w:tcPr/>
          <w:p>
            <w:pPr>
              <w:pStyle w:val="Compact"/>
            </w:pPr>
            <w:r>
              <w:t xml:space="preserve">0.36–1.19</w:t>
            </w:r>
          </w:p>
        </w:tc>
        <w:tc>
          <w:tcPr/>
          <w:p>
            <w:pPr>
              <w:pStyle w:val="Compact"/>
            </w:pPr>
            <w:r>
              <w:t xml:space="preserve">91.7%</w:t>
            </w:r>
          </w:p>
        </w:tc>
        <w:tc>
          <w:tcPr/>
          <w:p>
            <w:pPr>
              <w:pStyle w:val="Compact"/>
            </w:pPr>
            <w:r>
              <w:t xml:space="preserve">0.0273</w:t>
            </w:r>
          </w:p>
        </w:tc>
        <w:tc>
          <w:tcPr/>
          <w:p>
            <w:pPr>
              <w:pStyle w:val="Compact"/>
            </w:pPr>
            <w:r>
              <w:t xml:space="preserve">28.98 (3), p&lt;0.001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Comparability (matched-N)</w:t>
            </w:r>
          </w:p>
        </w:tc>
        <w:tc>
          <w:tcPr/>
          <w:p>
            <w:pPr>
              <w:pStyle w:val="Compact"/>
            </w:pPr>
            <w:r>
              <w:t xml:space="preserve">DerSimonian-Laird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0.65 (0.55–0.77)</w:t>
            </w:r>
          </w:p>
        </w:tc>
        <w:tc>
          <w:tcPr/>
          <w:p>
            <w:pPr>
              <w:pStyle w:val="Compact"/>
            </w:pPr>
            <w:r>
              <w:t xml:space="preserve">0.47–0.91</w:t>
            </w:r>
          </w:p>
        </w:tc>
        <w:tc>
          <w:tcPr/>
          <w:p>
            <w:pPr>
              <w:pStyle w:val="Compact"/>
            </w:pPr>
            <w:r>
              <w:t xml:space="preserve">89.6%</w:t>
            </w:r>
          </w:p>
        </w:tc>
        <w:tc>
          <w:tcPr/>
          <w:p>
            <w:pPr>
              <w:pStyle w:val="Compact"/>
            </w:pPr>
            <w:r>
              <w:t xml:space="preserve">0.0215</w:t>
            </w:r>
          </w:p>
        </w:tc>
        <w:tc>
          <w:tcPr/>
          <w:p>
            <w:pPr>
              <w:pStyle w:val="Compact"/>
            </w:pPr>
            <w:r>
              <w:t xml:space="preserve">28.98 (3), p&lt;0.001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Comparability (original spec)</w:t>
            </w:r>
          </w:p>
        </w:tc>
        <w:tc>
          <w:tcPr/>
          <w:p>
            <w:pPr>
              <w:pStyle w:val="Compact"/>
            </w:pPr>
            <w:r>
              <w:t xml:space="preserve">DerSimonian-Laird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0.68 (0.61–0.75)</w:t>
            </w:r>
          </w:p>
        </w:tc>
        <w:tc>
          <w:tcPr/>
          <w:p>
            <w:pPr>
              <w:pStyle w:val="Compact"/>
            </w:pPr>
            <w:r>
              <w:t xml:space="preserve">0.54–0.85</w:t>
            </w:r>
          </w:p>
        </w:tc>
        <w:tc>
          <w:tcPr/>
          <w:p>
            <w:pPr>
              <w:pStyle w:val="Compact"/>
            </w:pPr>
            <w:r>
              <w:t xml:space="preserve">86.4%</w:t>
            </w:r>
          </w:p>
        </w:tc>
        <w:tc>
          <w:tcPr/>
          <w:p>
            <w:pPr>
              <w:pStyle w:val="Compact"/>
            </w:pPr>
            <w:r>
              <w:t xml:space="preserve">0.0111</w:t>
            </w:r>
          </w:p>
        </w:tc>
        <w:tc>
          <w:tcPr/>
          <w:p>
            <w:pPr>
              <w:pStyle w:val="Compact"/>
            </w:pPr>
            <w:r>
              <w:t xml:space="preserve">29.47 (4), p&lt;0.001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Sensitivity all-wave</w:t>
            </w:r>
          </w:p>
        </w:tc>
        <w:tc>
          <w:tcPr/>
          <w:p>
            <w:pPr>
              <w:pStyle w:val="Compact"/>
            </w:pPr>
            <w:r>
              <w:t xml:space="preserve">HKSJ + Paule-Mandel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0.67 (0.56–0.81)</w:t>
            </w:r>
          </w:p>
        </w:tc>
        <w:tc>
          <w:tcPr/>
          <w:p>
            <w:pPr>
              <w:pStyle w:val="Compact"/>
            </w:pPr>
            <w:r>
              <w:t xml:space="preserve">0.44–1.02</w:t>
            </w:r>
          </w:p>
        </w:tc>
        <w:tc>
          <w:tcPr/>
          <w:p>
            <w:pPr>
              <w:pStyle w:val="Compact"/>
            </w:pPr>
            <w:r>
              <w:t xml:space="preserve">91.2%</w:t>
            </w:r>
          </w:p>
        </w:tc>
        <w:tc>
          <w:tcPr/>
          <w:p>
            <w:pPr>
              <w:pStyle w:val="Compact"/>
            </w:pPr>
            <w:r>
              <w:t xml:space="preserve">0.0180</w:t>
            </w:r>
          </w:p>
        </w:tc>
        <w:tc>
          <w:tcPr/>
          <w:p>
            <w:pPr>
              <w:pStyle w:val="Compact"/>
            </w:pPr>
            <w:r>
              <w:t xml:space="preserve">29.47 (4), p&lt;0.001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Egger test (k=5)</w:t>
            </w:r>
          </w:p>
        </w:tc>
        <w:tc>
          <w:tcPr/>
          <w:p>
            <w:pPr>
              <w:pStyle w:val="Compact"/>
            </w:pPr>
            <w:r>
              <w:t xml:space="preserve">Regression on SE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 = −1.15, p = 0.33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Uninformative at k=5</w:t>
            </w:r>
          </w:p>
        </w:tc>
      </w:tr>
    </w:tbl>
    <w:bookmarkStart w:id="11" w:name="leave-one-out-primary-k4-hksj-pm"/>
    <w:p>
      <w:pPr>
        <w:pStyle w:val="Heading3"/>
      </w:pPr>
      <w:r>
        <w:t xml:space="preserve">Leave-one-out (primary k=4, HKSJ-PM)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Excluded study</w:t>
            </w:r>
          </w:p>
        </w:tc>
        <w:tc>
          <w:tcPr/>
          <w:p>
            <w:pPr>
              <w:pStyle w:val="Compact"/>
            </w:pPr>
            <w:r>
              <w:t xml:space="preserve">Pooled OR (95% CI)</w:t>
            </w:r>
          </w:p>
        </w:tc>
        <w:tc>
          <w:tcPr/>
          <w:p>
            <w:pPr>
              <w:pStyle w:val="Compact"/>
            </w:pPr>
            <w:r>
              <w:t xml:space="preserve">I²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West</w:t>
            </w:r>
          </w:p>
        </w:tc>
        <w:tc>
          <w:tcPr/>
          <w:p>
            <w:pPr>
              <w:pStyle w:val="Compact"/>
            </w:pPr>
            <w:r>
              <w:t xml:space="preserve">0.63 (0.36–1.08)</w:t>
            </w:r>
          </w:p>
        </w:tc>
        <w:tc>
          <w:tcPr/>
          <w:p>
            <w:pPr>
              <w:pStyle w:val="Compact"/>
            </w:pPr>
            <w:r>
              <w:t xml:space="preserve">89.3%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Al-Haddad 2021</w:t>
            </w:r>
          </w:p>
        </w:tc>
        <w:tc>
          <w:tcPr/>
          <w:p>
            <w:pPr>
              <w:pStyle w:val="Compact"/>
            </w:pPr>
            <w:r>
              <w:t xml:space="preserve">0.61 (0.40–0.92)</w:t>
            </w:r>
          </w:p>
        </w:tc>
        <w:tc>
          <w:tcPr/>
          <w:p>
            <w:pPr>
              <w:pStyle w:val="Compact"/>
            </w:pPr>
            <w:r>
              <w:t xml:space="preserve">78.7%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 Onge</w:t>
            </w:r>
          </w:p>
        </w:tc>
        <w:tc>
          <w:tcPr/>
          <w:p>
            <w:pPr>
              <w:pStyle w:val="Compact"/>
            </w:pPr>
            <w:r>
              <w:t xml:space="preserve">0.66 (0.43–1.03)</w:t>
            </w:r>
          </w:p>
        </w:tc>
        <w:tc>
          <w:tcPr/>
          <w:p>
            <w:pPr>
              <w:pStyle w:val="Compact"/>
            </w:pPr>
            <w:r>
              <w:t xml:space="preserve">94.6%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</w:t>
            </w:r>
          </w:p>
        </w:tc>
        <w:tc>
          <w:tcPr/>
          <w:p>
            <w:pPr>
              <w:pStyle w:val="Compact"/>
            </w:pPr>
            <w:r>
              <w:t xml:space="preserve">0.73 (0.60–0.88)</w:t>
            </w:r>
          </w:p>
        </w:tc>
        <w:tc>
          <w:tcPr/>
          <w:p>
            <w:pPr>
              <w:pStyle w:val="Compact"/>
            </w:pPr>
            <w:r>
              <w:t xml:space="preserve">52.0%</w:t>
            </w:r>
          </w:p>
        </w:tc>
      </w:tr>
    </w:tbl>
    <w:p>
      <w:pPr>
        <w:pStyle w:val="BodyText"/>
      </w:pPr>
      <w:r>
        <w:rPr>
          <w:i/>
          <w:iCs/>
        </w:rPr>
        <w:t xml:space="preserve">Pooled OR ranges 0.61–0.73 across leave-one-out iterations. Exclusion of West or St Onge produces 95% CIs that cross 1.0 — indicating the pooled signal is sensitive to individual studies. Exclusion of Al-Haddad 2021 attenuates heterogeneity to I² 78.7% and tightens the estimate to 0.61 (0.40–0.92).</w:t>
      </w:r>
    </w:p>
    <w:bookmarkEnd w:id="11"/>
    <w:bookmarkStart w:id="12" w:name="X16a5286e684496b02984284f43871a6cc7d303b"/>
    <w:p>
      <w:pPr>
        <w:pStyle w:val="Heading3"/>
      </w:pPr>
      <w:r>
        <w:t xml:space="preserve">Adjusted-only narrative comparison (k=2 — not pooled)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Study</w:t>
            </w:r>
          </w:p>
        </w:tc>
        <w:tc>
          <w:tcPr/>
          <w:p>
            <w:pPr>
              <w:pStyle w:val="Compact"/>
            </w:pPr>
            <w:r>
              <w:t xml:space="preserve">Adjusted OR (95% CI)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West 2011</w:t>
            </w:r>
          </w:p>
        </w:tc>
        <w:tc>
          <w:tcPr/>
          <w:p>
            <w:pPr>
              <w:pStyle w:val="Compact"/>
            </w:pPr>
            <w:r>
              <w:t xml:space="preserve">0.70 (0.65–0.76)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 2024</w:t>
            </w:r>
          </w:p>
        </w:tc>
        <w:tc>
          <w:tcPr/>
          <w:p>
            <w:pPr>
              <w:pStyle w:val="Compact"/>
            </w:pPr>
            <w:r>
              <w:t xml:space="preserve">0.54 (0.48–0.60)</w:t>
            </w:r>
          </w:p>
        </w:tc>
      </w:tr>
    </w:tbl>
    <w:p>
      <w:pPr>
        <w:pStyle w:val="BodyText"/>
      </w:pPr>
      <w:r>
        <w:t xml:space="preserve">Two-study random-effects pooling is unstable; we report these narratively.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X3f48b947a48a0fd5c229f7432a878aeaad035ab"/>
    <w:p>
      <w:pPr>
        <w:pStyle w:val="Heading2"/>
      </w:pPr>
      <w:r>
        <w:t>Table S4. GRADE Summary of Findings — Burnout Among IMG vs DMG Trainees and Early-Career Physicians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Outcome</w:t>
            </w:r>
          </w:p>
        </w:tc>
        <w:tc>
          <w:tcPr/>
          <w:p>
            <w:pPr>
              <w:pStyle w:val="Compact"/>
            </w:pPr>
            <w:r>
              <w:t xml:space="preserve">No. of effect sizes (responses)</w:t>
            </w:r>
          </w:p>
        </w:tc>
        <w:tc>
          <w:tcPr/>
          <w:p>
            <w:pPr>
              <w:pStyle w:val="Compact"/>
            </w:pPr>
            <w:r>
              <w:t xml:space="preserve">Effect (HKSJ-PM, k=4)</w:t>
            </w:r>
          </w:p>
        </w:tc>
        <w:tc>
          <w:tcPr/>
          <w:p>
            <w:pPr>
              <w:pStyle w:val="Compact"/>
            </w:pPr>
            <w:r>
              <w:t xml:space="preserve">Certainty (GRADE)</w:t>
            </w:r>
          </w:p>
        </w:tc>
        <w:tc>
          <w:tcPr/>
          <w:p>
            <w:pPr>
              <w:pStyle w:val="Compact"/>
            </w:pPr>
            <w:r>
              <w:t xml:space="preserve">Reason for downgrades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Self-reported burnout (any-instrument dichotomous)</w:t>
            </w:r>
          </w:p>
        </w:tc>
        <w:tc>
          <w:tcPr/>
          <w:p>
            <w:pPr>
              <w:pStyle w:val="Compact"/>
            </w:pPr>
            <w:r>
              <w:t xml:space="preserve">4 effect sizes from 4 studies (73,049 physician-responses; primary)</w:t>
            </w:r>
          </w:p>
        </w:tc>
        <w:tc>
          <w:tcPr/>
          <w:p>
            <w:pPr>
              <w:pStyle w:val="Compact"/>
            </w:pP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0.65</w:t>
            </w:r>
            <w:r>
              <w:t xml:space="preserve"> </w:t>
            </w:r>
            <w:r>
              <w:t xml:space="preserve">(95% CI</w:t>
            </w:r>
            <w:r>
              <w:t xml:space="preserve"> </w:t>
            </w:r>
            <w:r>
              <w:rPr>
                <w:b/>
                <w:bCs/>
              </w:rPr>
              <w:t xml:space="preserve">0.49–0.87</w:t>
            </w:r>
            <w:r>
              <w:t xml:space="preserve">);</w:t>
            </w:r>
            <w:r>
              <w:t xml:space="preserve"> </w:t>
            </w:r>
            <w:r>
              <w:rPr>
                <w:b/>
                <w:bCs/>
              </w:rPr>
              <w:t xml:space="preserve">95% PI 0.37–1.15 — crosses 1.0</w:t>
            </w:r>
          </w:p>
        </w:tc>
        <w:tc>
          <w:tcPr/>
          <w:p>
            <w:pPr>
              <w:pStyle w:val="Compact"/>
            </w:pPr>
            <w:r>
              <w:t xml:space="preserve">⊕◯◯◯</w:t>
            </w:r>
            <w:r>
              <w:t xml:space="preserve"> </w:t>
            </w:r>
            <w:r>
              <w:rPr>
                <w:b/>
                <w:bCs/>
              </w:rPr>
              <w:t xml:space="preserve">VERY LOW</w:t>
            </w:r>
          </w:p>
        </w:tc>
        <w:tc>
          <w:tcPr/>
          <w:p>
            <w:pPr>
              <w:pStyle w:val="Compact"/>
            </w:pPr>
            <w:r>
              <w:t xml:space="preserve">Risk of bias (serious): cross-sectional design, survey nonresponse, complete-case, heterogeneous instruments, inconsistent adjustment. Inconsistency (serious): I²=90%, PI crosses 1.0, leave-one-out 0.61–0.73. Indirectness (serious): US + UK only, predominantly trainees, instruments not validated cross-culturally for IMG populations. Imprecision (serious): k=4, wide HKSJ CI.</w:t>
            </w:r>
          </w:p>
        </w:tc>
      </w:tr>
    </w:tbl>
    <w:p>
      <w:pPr>
        <w:pStyle w:val="BodyText"/>
      </w:pPr>
      <w:r>
        <w:rPr>
          <w:b/>
          <w:bCs/>
        </w:rPr>
        <w:t xml:space="preserve">Interpretation.</w:t>
      </w:r>
      <w:r>
        <w:t xml:space="preserve"> </w:t>
      </w:r>
      <w:r>
        <w:t xml:space="preserve">The pooled estimate suggests lower odds of burnout among IMG trainees and early-career physicians, but with very low certainty. The 95% prediction interval crosses 1.0, meaning a future similar study cannot be confidently expected to replicate the protective association. This is a hypothesis-generating signal, not reliable evidence of a true difference in burnout risk.</w:t>
      </w:r>
    </w:p>
    <w:p>
      <w:r>
        <w:pict>
          <v:rect style="width:0;height:1.5pt" o:hralign="center" o:hrstd="t" o:hr="t"/>
        </w:pict>
      </w:r>
    </w:p>
    <w:bookmarkEnd w:id="14"/>
    <w:bookmarkStart w:id="21" w:name="X1e593c7a8aa8cadc1632bccef5d9dc4e8edcad1"/>
    <w:p>
      <w:pPr>
        <w:pStyle w:val="Heading2"/>
      </w:pPr>
      <w:r>
        <w:t xml:space="preserve">Supplement S1 — Full Search Strategies (5 databases)</w:t>
      </w:r>
    </w:p>
    <w:p>
      <w:pPr>
        <w:pStyle w:val="FirstParagraph"/>
      </w:pPr>
      <w:r>
        <w:t xml:space="preserve">Full Boolean strings for each of the five databases are reproduced below. Original search: 27 March 2026. Revised search: 27 April 2026, expanding population terms per Reviewer 1’s recommendation and removing the restrictive outcome filter</w:t>
      </w:r>
      <w:r>
        <w:t xml:space="preserve"> </w:t>
      </w:r>
      <w:r>
        <w:t xml:space="preserve">“(prevalence OR survey OR cross-sectional OR comparison)”</w:t>
      </w:r>
      <w:r>
        <w:t xml:space="preserve">. The full set of strings, screening log, and Covidence project export are deposited on OSF (DOI: 10.17605/OSF.IO/D5Q2N).</w:t>
      </w:r>
    </w:p>
    <w:bookmarkStart w:id="15" w:name="s1.1-pubmedmedline-nlm-platform"/>
    <w:p>
      <w:pPr>
        <w:pStyle w:val="Heading3"/>
      </w:pPr>
      <w:r>
        <w:t xml:space="preserve">S1.1 PubMed/MEDLINE (NLM platform)</w:t>
      </w:r>
    </w:p>
    <w:p>
      <w:pPr>
        <w:pStyle w:val="SourceCode"/>
      </w:pPr>
      <w:r>
        <w:rPr>
          <w:rStyle w:val="VerbatimChar"/>
        </w:rPr>
        <w:t xml:space="preserve">("international medical graduate*"[tiab] OR "foreign medical graduate*"[tiab]</w:t>
      </w:r>
      <w:r>
        <w:br/>
      </w:r>
      <w:r>
        <w:rPr>
          <w:rStyle w:val="VerbatimChar"/>
        </w:rPr>
        <w:t xml:space="preserve"> OR "overseas trained doctor*"[tiab] OR "overseas-qualified doctor*"[tiab]</w:t>
      </w:r>
      <w:r>
        <w:br/>
      </w:r>
      <w:r>
        <w:rPr>
          <w:rStyle w:val="VerbatimChar"/>
        </w:rPr>
        <w:t xml:space="preserve"> OR "non-US medical graduate*"[tiab] OR "foreign-born physician*"[tiab]</w:t>
      </w:r>
      <w:r>
        <w:br/>
      </w:r>
      <w:r>
        <w:rPr>
          <w:rStyle w:val="VerbatimChar"/>
        </w:rPr>
        <w:t xml:space="preserve"> OR "primary medical qualification"[tiab] OR "internationally trained doctor*"[tiab]</w:t>
      </w:r>
      <w:r>
        <w:br/>
      </w:r>
      <w:r>
        <w:rPr>
          <w:rStyle w:val="VerbatimChar"/>
        </w:rPr>
        <w:t xml:space="preserve"> OR "internationally-trained doctor*"[tiab])</w:t>
      </w:r>
      <w:r>
        <w:br/>
      </w:r>
      <w:r>
        <w:rPr>
          <w:rStyle w:val="VerbatimChar"/>
        </w:rPr>
        <w:t xml:space="preserve">AND</w:t>
      </w:r>
      <w:r>
        <w:br/>
      </w:r>
      <w:r>
        <w:rPr>
          <w:rStyle w:val="VerbatimChar"/>
        </w:rPr>
        <w:t xml:space="preserve">(burnout[tiab] OR "emotional exhaustion"[tiab] OR depersonalization[tiab]</w:t>
      </w:r>
      <w:r>
        <w:br/>
      </w:r>
      <w:r>
        <w:rPr>
          <w:rStyle w:val="VerbatimChar"/>
        </w:rPr>
        <w:t xml:space="preserve"> OR depersonalisation[tiab] OR "professional fulfillment"[tiab]</w:t>
      </w:r>
      <w:r>
        <w:br/>
      </w:r>
      <w:r>
        <w:rPr>
          <w:rStyle w:val="VerbatimChar"/>
        </w:rPr>
        <w:t xml:space="preserve"> OR "Maslach"[tiab] OR "Copenhagen Burnout"[tiab])</w:t>
      </w:r>
    </w:p>
    <w:p>
      <w:pPr>
        <w:pStyle w:val="FirstParagraph"/>
      </w:pPr>
      <w:r>
        <w:rPr>
          <w:i/>
          <w:iCs/>
        </w:rPr>
        <w:t xml:space="preserve">Limits applied at eligibility (not at search): English-language reports only.</w:t>
      </w:r>
    </w:p>
    <w:bookmarkEnd w:id="15"/>
    <w:bookmarkStart w:id="16" w:name="s1.2-embase-elsevier-platform"/>
    <w:p>
      <w:pPr>
        <w:pStyle w:val="Heading3"/>
      </w:pPr>
      <w:r>
        <w:t xml:space="preserve">S1.2 Embase (Elsevier platform)</w:t>
      </w:r>
    </w:p>
    <w:p>
      <w:pPr>
        <w:pStyle w:val="SourceCode"/>
      </w:pPr>
      <w:r>
        <w:rPr>
          <w:rStyle w:val="VerbatimChar"/>
        </w:rPr>
        <w:t xml:space="preserve">('international medical graduate*':ti,ab OR 'foreign medical graduate*':ti,ab</w:t>
      </w:r>
      <w:r>
        <w:br/>
      </w:r>
      <w:r>
        <w:rPr>
          <w:rStyle w:val="VerbatimChar"/>
        </w:rPr>
        <w:t xml:space="preserve"> OR 'overseas trained doctor*':ti,ab OR 'overseas qualified doctor*':ti,ab</w:t>
      </w:r>
      <w:r>
        <w:br/>
      </w:r>
      <w:r>
        <w:rPr>
          <w:rStyle w:val="VerbatimChar"/>
        </w:rPr>
        <w:t xml:space="preserve"> OR 'non-US medical graduate*':ti,ab OR 'foreign-born physician*':ti,ab</w:t>
      </w:r>
      <w:r>
        <w:br/>
      </w:r>
      <w:r>
        <w:rPr>
          <w:rStyle w:val="VerbatimChar"/>
        </w:rPr>
        <w:t xml:space="preserve"> OR 'primary medical qualification':ti,ab OR 'internationally trained doctor*':ti,ab)</w:t>
      </w:r>
      <w:r>
        <w:br/>
      </w:r>
      <w:r>
        <w:rPr>
          <w:rStyle w:val="VerbatimChar"/>
        </w:rPr>
        <w:t xml:space="preserve">AND</w:t>
      </w:r>
      <w:r>
        <w:br/>
      </w:r>
      <w:r>
        <w:rPr>
          <w:rStyle w:val="VerbatimChar"/>
        </w:rPr>
        <w:t xml:space="preserve">('burnout':ti,ab OR 'professional burnout'/exp OR 'emotional exhaustion':ti,ab</w:t>
      </w:r>
      <w:r>
        <w:br/>
      </w:r>
      <w:r>
        <w:rPr>
          <w:rStyle w:val="VerbatimChar"/>
        </w:rPr>
        <w:t xml:space="preserve"> OR 'depersonalization':ti,ab OR 'depersonalisation':ti,ab</w:t>
      </w:r>
      <w:r>
        <w:br/>
      </w:r>
      <w:r>
        <w:rPr>
          <w:rStyle w:val="VerbatimChar"/>
        </w:rPr>
        <w:t xml:space="preserve"> OR 'professional fulfillment':ti,ab OR 'Maslach Burnout Inventory'/exp</w:t>
      </w:r>
      <w:r>
        <w:br/>
      </w:r>
      <w:r>
        <w:rPr>
          <w:rStyle w:val="VerbatimChar"/>
        </w:rPr>
        <w:t xml:space="preserve"> OR 'Copenhagen Burnout Inventory':ti,ab)</w:t>
      </w:r>
    </w:p>
    <w:bookmarkEnd w:id="16"/>
    <w:bookmarkStart w:id="17" w:name="s1.3-psycinfo-apa-ebscohost-platform"/>
    <w:p>
      <w:pPr>
        <w:pStyle w:val="Heading3"/>
      </w:pPr>
      <w:r>
        <w:t xml:space="preserve">S1.3 PsycINFO (APA / EBSCOhost platform)</w:t>
      </w:r>
    </w:p>
    <w:p>
      <w:pPr>
        <w:pStyle w:val="SourceCode"/>
      </w:pPr>
      <w:r>
        <w:rPr>
          <w:rStyle w:val="VerbatimChar"/>
        </w:rPr>
        <w:t xml:space="preserve">( TI ( "international medical graduate*" OR "foreign medical graduate*"</w:t>
      </w:r>
      <w:r>
        <w:br/>
      </w:r>
      <w:r>
        <w:rPr>
          <w:rStyle w:val="VerbatimChar"/>
        </w:rPr>
        <w:t xml:space="preserve">     OR "overseas trained doctor*" OR "overseas-qualified doctor*"</w:t>
      </w:r>
      <w:r>
        <w:br/>
      </w:r>
      <w:r>
        <w:rPr>
          <w:rStyle w:val="VerbatimChar"/>
        </w:rPr>
        <w:t xml:space="preserve">     OR "non-US medical graduate*" OR "foreign-born physician*"</w:t>
      </w:r>
      <w:r>
        <w:br/>
      </w:r>
      <w:r>
        <w:rPr>
          <w:rStyle w:val="VerbatimChar"/>
        </w:rPr>
        <w:t xml:space="preserve">     OR "primary medical qualification" OR "internationally trained doctor*" )</w:t>
      </w:r>
      <w:r>
        <w:br/>
      </w:r>
      <w:r>
        <w:rPr>
          <w:rStyle w:val="VerbatimChar"/>
        </w:rPr>
        <w:t xml:space="preserve">  OR AB ( "international medical graduate*" OR "foreign medical graduate*"</w:t>
      </w:r>
      <w:r>
        <w:br/>
      </w:r>
      <w:r>
        <w:rPr>
          <w:rStyle w:val="VerbatimChar"/>
        </w:rPr>
        <w:t xml:space="preserve">        OR "overseas trained doctor*" OR "overseas-qualified doctor*"</w:t>
      </w:r>
      <w:r>
        <w:br/>
      </w:r>
      <w:r>
        <w:rPr>
          <w:rStyle w:val="VerbatimChar"/>
        </w:rPr>
        <w:t xml:space="preserve">        OR "non-US medical graduate*" OR "foreign-born physician*"</w:t>
      </w:r>
      <w:r>
        <w:br/>
      </w:r>
      <w:r>
        <w:rPr>
          <w:rStyle w:val="VerbatimChar"/>
        </w:rPr>
        <w:t xml:space="preserve">        OR "primary medical qualification" OR "internationally trained doctor*" ) )</w:t>
      </w:r>
      <w:r>
        <w:br/>
      </w:r>
      <w:r>
        <w:rPr>
          <w:rStyle w:val="VerbatimChar"/>
        </w:rPr>
        <w:t xml:space="preserve">AND</w:t>
      </w:r>
      <w:r>
        <w:br/>
      </w:r>
      <w:r>
        <w:rPr>
          <w:rStyle w:val="VerbatimChar"/>
        </w:rPr>
        <w:t xml:space="preserve">( TI ( burnout OR "emotional exhaustion" OR depersonalization OR depersonalisation</w:t>
      </w:r>
      <w:r>
        <w:br/>
      </w:r>
      <w:r>
        <w:rPr>
          <w:rStyle w:val="VerbatimChar"/>
        </w:rPr>
        <w:t xml:space="preserve">     OR "professional fulfillment" OR Maslach OR "Copenhagen Burnout" )</w:t>
      </w:r>
      <w:r>
        <w:br/>
      </w:r>
      <w:r>
        <w:rPr>
          <w:rStyle w:val="VerbatimChar"/>
        </w:rPr>
        <w:t xml:space="preserve">  OR AB ( burnout OR "emotional exhaustion" OR depersonalization OR depersonalisation</w:t>
      </w:r>
      <w:r>
        <w:br/>
      </w:r>
      <w:r>
        <w:rPr>
          <w:rStyle w:val="VerbatimChar"/>
        </w:rPr>
        <w:t xml:space="preserve">        OR "professional fulfillment" OR Maslach OR "Copenhagen Burnout" ) )</w:t>
      </w:r>
    </w:p>
    <w:bookmarkEnd w:id="17"/>
    <w:bookmarkStart w:id="18" w:name="s1.4-scopus"/>
    <w:p>
      <w:pPr>
        <w:pStyle w:val="Heading3"/>
      </w:pPr>
      <w:r>
        <w:t xml:space="preserve">S1.4 Scopus</w:t>
      </w:r>
    </w:p>
    <w:p>
      <w:pPr>
        <w:pStyle w:val="SourceCode"/>
      </w:pPr>
      <w:r>
        <w:rPr>
          <w:rStyle w:val="VerbatimChar"/>
        </w:rPr>
        <w:t xml:space="preserve">TITLE-ABS-KEY (</w:t>
      </w:r>
      <w:r>
        <w:br/>
      </w:r>
      <w:r>
        <w:rPr>
          <w:rStyle w:val="VerbatimChar"/>
        </w:rPr>
        <w:t xml:space="preserve"> ("international medical graduate*" OR "foreign medical graduate*"</w:t>
      </w:r>
      <w:r>
        <w:br/>
      </w:r>
      <w:r>
        <w:rPr>
          <w:rStyle w:val="VerbatimChar"/>
        </w:rPr>
        <w:t xml:space="preserve">  OR "overseas trained doctor*" OR "overseas-qualified doctor*"</w:t>
      </w:r>
      <w:r>
        <w:br/>
      </w:r>
      <w:r>
        <w:rPr>
          <w:rStyle w:val="VerbatimChar"/>
        </w:rPr>
        <w:t xml:space="preserve">  OR "non-US medical graduate*" OR "foreign-born physician*"</w:t>
      </w:r>
      <w:r>
        <w:br/>
      </w:r>
      <w:r>
        <w:rPr>
          <w:rStyle w:val="VerbatimChar"/>
        </w:rPr>
        <w:t xml:space="preserve">  OR "primary medical qualification" OR "internationally trained doctor*")</w:t>
      </w:r>
      <w:r>
        <w:br/>
      </w:r>
      <w:r>
        <w:rPr>
          <w:rStyle w:val="VerbatimChar"/>
        </w:rPr>
        <w:t xml:space="preserve"> AND</w:t>
      </w:r>
      <w:r>
        <w:br/>
      </w:r>
      <w:r>
        <w:rPr>
          <w:rStyle w:val="VerbatimChar"/>
        </w:rPr>
        <w:t xml:space="preserve"> (burnout OR "emotional exhaustion" OR depersonalization</w:t>
      </w:r>
      <w:r>
        <w:br/>
      </w:r>
      <w:r>
        <w:rPr>
          <w:rStyle w:val="VerbatimChar"/>
        </w:rPr>
        <w:t xml:space="preserve">  OR depersonalisation OR "professional fulfillment"</w:t>
      </w:r>
      <w:r>
        <w:br/>
      </w:r>
      <w:r>
        <w:rPr>
          <w:rStyle w:val="VerbatimChar"/>
        </w:rPr>
        <w:t xml:space="preserve">  OR Maslach OR "Copenhagen Burnout")</w:t>
      </w:r>
      <w:r>
        <w:br/>
      </w:r>
      <w:r>
        <w:rPr>
          <w:rStyle w:val="VerbatimChar"/>
        </w:rPr>
        <w:t xml:space="preserve">)</w:t>
      </w:r>
      <w:r>
        <w:br/>
      </w:r>
      <w:r>
        <w:rPr>
          <w:rStyle w:val="VerbatimChar"/>
        </w:rPr>
        <w:t xml:space="preserve">AND ( LIMIT-TO ( SUBJAREA, "MEDI" ) OR LIMIT-TO ( SUBJAREA, "PSYC" ) OR LIMIT-TO ( SUBJAREA, "SOCI" ) )</w:t>
      </w:r>
    </w:p>
    <w:bookmarkEnd w:id="18"/>
    <w:bookmarkStart w:id="19" w:name="s1.5-cinahl-ebscohost-platform"/>
    <w:p>
      <w:pPr>
        <w:pStyle w:val="Heading3"/>
      </w:pPr>
      <w:r>
        <w:t xml:space="preserve">S1.5 CINAHL (EBSCOhost platform)</w:t>
      </w:r>
    </w:p>
    <w:p>
      <w:pPr>
        <w:pStyle w:val="SourceCode"/>
      </w:pPr>
      <w:r>
        <w:rPr>
          <w:rStyle w:val="VerbatimChar"/>
        </w:rPr>
        <w:t xml:space="preserve">( TI ( "international medical graduate*" OR "foreign medical graduate*"</w:t>
      </w:r>
      <w:r>
        <w:br/>
      </w:r>
      <w:r>
        <w:rPr>
          <w:rStyle w:val="VerbatimChar"/>
        </w:rPr>
        <w:t xml:space="preserve">     OR "overseas trained doctor*" OR "overseas-qualified doctor*"</w:t>
      </w:r>
      <w:r>
        <w:br/>
      </w:r>
      <w:r>
        <w:rPr>
          <w:rStyle w:val="VerbatimChar"/>
        </w:rPr>
        <w:t xml:space="preserve">     OR "non-US medical graduate*" OR "foreign-born physician*"</w:t>
      </w:r>
      <w:r>
        <w:br/>
      </w:r>
      <w:r>
        <w:rPr>
          <w:rStyle w:val="VerbatimChar"/>
        </w:rPr>
        <w:t xml:space="preserve">     OR "primary medical qualification" OR "internationally trained doctor*" )</w:t>
      </w:r>
      <w:r>
        <w:br/>
      </w:r>
      <w:r>
        <w:rPr>
          <w:rStyle w:val="VerbatimChar"/>
        </w:rPr>
        <w:t xml:space="preserve">  OR AB ( "international medical graduate*" OR "foreign medical graduate*"</w:t>
      </w:r>
      <w:r>
        <w:br/>
      </w:r>
      <w:r>
        <w:rPr>
          <w:rStyle w:val="VerbatimChar"/>
        </w:rPr>
        <w:t xml:space="preserve">        OR "overseas trained doctor*" OR "overseas-qualified doctor*"</w:t>
      </w:r>
      <w:r>
        <w:br/>
      </w:r>
      <w:r>
        <w:rPr>
          <w:rStyle w:val="VerbatimChar"/>
        </w:rPr>
        <w:t xml:space="preserve">        OR "non-US medical graduate*" OR "foreign-born physician*"</w:t>
      </w:r>
      <w:r>
        <w:br/>
      </w:r>
      <w:r>
        <w:rPr>
          <w:rStyle w:val="VerbatimChar"/>
        </w:rPr>
        <w:t xml:space="preserve">        OR "primary medical qualification" OR "internationally trained doctor*" ) )</w:t>
      </w:r>
      <w:r>
        <w:br/>
      </w:r>
      <w:r>
        <w:rPr>
          <w:rStyle w:val="VerbatimChar"/>
        </w:rPr>
        <w:t xml:space="preserve">AND</w:t>
      </w:r>
      <w:r>
        <w:br/>
      </w:r>
      <w:r>
        <w:rPr>
          <w:rStyle w:val="VerbatimChar"/>
        </w:rPr>
        <w:t xml:space="preserve">( MH "Burnout, Professional"</w:t>
      </w:r>
      <w:r>
        <w:br/>
      </w:r>
      <w:r>
        <w:rPr>
          <w:rStyle w:val="VerbatimChar"/>
        </w:rPr>
        <w:t xml:space="preserve">  OR TI ( burnout OR "emotional exhaustion" OR depersonalization OR depersonalisation</w:t>
      </w:r>
      <w:r>
        <w:br/>
      </w:r>
      <w:r>
        <w:rPr>
          <w:rStyle w:val="VerbatimChar"/>
        </w:rPr>
        <w:t xml:space="preserve">        OR "Copenhagen Burnout" OR Maslach OR "professional fulfillment" )</w:t>
      </w:r>
      <w:r>
        <w:br/>
      </w:r>
      <w:r>
        <w:rPr>
          <w:rStyle w:val="VerbatimChar"/>
        </w:rPr>
        <w:t xml:space="preserve">  OR AB ( burnout OR "emotional exhaustion" OR depersonalization OR depersonalisation</w:t>
      </w:r>
      <w:r>
        <w:br/>
      </w:r>
      <w:r>
        <w:rPr>
          <w:rStyle w:val="VerbatimChar"/>
        </w:rPr>
        <w:t xml:space="preserve">        OR "Copenhagen Burnout" OR Maslach OR "professional fulfillment" ) )</w:t>
      </w:r>
    </w:p>
    <w:bookmarkEnd w:id="19"/>
    <w:bookmarkStart w:id="20" w:name="X77d1353ba39050735a014d1130ddfe89e3cdb5b"/>
    <w:p>
      <w:pPr>
        <w:pStyle w:val="Heading3"/>
      </w:pPr>
      <w:r>
        <w:t xml:space="preserve">S1.6 Re-run yield (revised search, 27 April 2026)</w:t>
      </w:r>
    </w:p>
    <w:p>
      <w:pPr>
        <w:pStyle w:val="Compact"/>
        <w:numPr>
          <w:ilvl w:val="0"/>
          <w:numId w:val="1001"/>
        </w:numPr>
      </w:pPr>
      <w:r>
        <w:t xml:space="preserve">Database totals (raw, before deduplication): 196 records</w:t>
      </w:r>
    </w:p>
    <w:p>
      <w:pPr>
        <w:pStyle w:val="Compact"/>
        <w:numPr>
          <w:ilvl w:val="0"/>
          <w:numId w:val="1001"/>
        </w:numPr>
      </w:pPr>
      <w:r>
        <w:t xml:space="preserve">Unique records after deduplication:</w:t>
      </w:r>
      <w:r>
        <w:t xml:space="preserve"> </w:t>
      </w:r>
      <w:r>
        <w:rPr>
          <w:b/>
          <w:bCs/>
        </w:rPr>
        <w:t xml:space="preserve">142</w:t>
      </w:r>
      <w:r>
        <w:t xml:space="preserve"> </w:t>
      </w:r>
      <w:r>
        <w:t xml:space="preserve">(originally 88 on 27 March 2026)</w:t>
      </w:r>
    </w:p>
    <w:p>
      <w:pPr>
        <w:pStyle w:val="Compact"/>
        <w:numPr>
          <w:ilvl w:val="0"/>
          <w:numId w:val="1001"/>
        </w:numPr>
      </w:pPr>
      <w:r>
        <w:t xml:space="preserve">Title/abstract screening: 18 advanced to full-text (originally 12)</w:t>
      </w:r>
    </w:p>
    <w:p>
      <w:pPr>
        <w:pStyle w:val="Compact"/>
        <w:numPr>
          <w:ilvl w:val="0"/>
          <w:numId w:val="1001"/>
        </w:numPr>
      </w:pPr>
      <w:r>
        <w:t xml:space="preserve">Full-text screening:</w:t>
      </w:r>
      <w:r>
        <w:t xml:space="preserve"> </w:t>
      </w:r>
      <w:r>
        <w:rPr>
          <w:b/>
          <w:bCs/>
        </w:rPr>
        <w:t xml:space="preserve">0 newly eligible</w:t>
      </w:r>
      <w:r>
        <w:t xml:space="preserve"> </w:t>
      </w:r>
      <w:r>
        <w:t xml:space="preserve">studies identified</w:t>
      </w:r>
    </w:p>
    <w:p>
      <w:pPr>
        <w:pStyle w:val="Compact"/>
        <w:numPr>
          <w:ilvl w:val="0"/>
          <w:numId w:val="1001"/>
        </w:numPr>
      </w:pPr>
      <w:r>
        <w:t xml:space="preserve">Final included:</w:t>
      </w:r>
      <w:r>
        <w:t xml:space="preserve"> </w:t>
      </w:r>
      <w:r>
        <w:rPr>
          <w:b/>
          <w:bCs/>
        </w:rPr>
        <w:t xml:space="preserve">4 studies / 5 effect sizes</w:t>
      </w:r>
      <w:r>
        <w:t xml:space="preserve"> </w:t>
      </w:r>
      <w:r>
        <w:t xml:space="preserve">(unchanged from original submission)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Xf81fcc20e389266cb791b6933b0c558949d1586"/>
    <w:p>
      <w:pPr>
        <w:pStyle w:val="Heading2"/>
      </w:pPr>
      <w:r>
        <w:t xml:space="preserve">Supplement S2 — Aggregated Full-Text Exclusion Reasons (Revised Search)</w:t>
      </w:r>
    </w:p>
    <w:p>
      <w:pPr>
        <w:pStyle w:val="FirstParagraph"/>
      </w:pPr>
      <w:r>
        <w:t xml:space="preserve">Of 18 articles assessed at full-text screening, 4 met all eligibility criteria — West 2011 [1], Al-Haddad 2023 (contributing two survey-wave estimates from the 2019 and 2021 GMC National Training Survey waves) [2], St Onge 2022 [3], and Doe 2024 [4] — and</w:t>
      </w:r>
      <w:r>
        <w:t xml:space="preserve"> </w:t>
      </w:r>
      <w:r>
        <w:rPr>
          <w:b/>
          <w:bCs/>
        </w:rPr>
        <w:t xml:space="preserve">14 were excluded</w:t>
      </w:r>
      <w:r>
        <w:t xml:space="preserve">. The 14 excluded full-text articles, with author / year / title / journal / DOI for each, are recorded in the Covidence project export deposited on OSF (</w:t>
      </w:r>
      <w:r>
        <w:rPr>
          <w:rStyle w:val="VerbatimChar"/>
        </w:rPr>
        <w:t xml:space="preserve">Covidence_screening_log.csv</w:t>
      </w:r>
      <w:r>
        <w:t xml:space="preserve"> </w:t>
      </w:r>
      <w:r>
        <w:t xml:space="preserve">at https://doi.org/10.17605/OSF.IO/D5Q2N) and are also available from the corresponding author on request. Consistent with PRISMA 2020 item 16b, the per-citation full-text exclusion log is deposited on OSF, while this Supplement S2 reports aggregated exclusion reasons with counts.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Exclusion reason</w:t>
            </w:r>
          </w:p>
        </w:tc>
        <w:tc>
          <w:tcPr/>
          <w:p>
            <w:pPr>
              <w:pStyle w:val="Compact"/>
            </w:pPr>
            <w: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domestic-graduate comparator (IMGs only)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Reported burnout prevalence among IMGs without a comparable domestic-graduate group; failed eligibility criterion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Non-validated or ad-hoc burnout instrument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Used unvalidated single-item or institution-developed burnout measures; failed eligibility criterion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Qualitative-only without quantitative outcome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Mixed-methods studies whose quantitative arm did not report a comparable burnout outcome; failed exclusion criterion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Narrative review without original data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Did not contribute extractable participant-level data; failed exclusion criterion 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full-text exclusions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These categories correspond to the four</w:t>
      </w:r>
      <w:r>
        <w:t xml:space="preserve"> </w:t>
      </w:r>
      <w:r>
        <w:t xml:space="preserve">“Full-text articles excluded”</w:t>
      </w:r>
      <w:r>
        <w:t xml:space="preserve"> </w:t>
      </w:r>
      <w:r>
        <w:t xml:space="preserve">reasons displayed in Figure 1 (PRISMA 2020 flow diagram). Inclusion decisions had inter-rater Cohen’s κ = 0.81; six of 38 risk-of-bias items required third-reviewer adjudication.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2026-04-27T14:12:04Z</dcterms:created>
  <dcterms:modified xsi:type="dcterms:W3CDTF">2026-04-27T14:12:04Z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