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6EC17" w14:textId="77777777" w:rsidR="0036712A" w:rsidRPr="001E3B29" w:rsidRDefault="0036712A" w:rsidP="0036712A">
      <w:pPr>
        <w:pStyle w:val="StandardWeb"/>
        <w:spacing w:line="48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1E3B29">
        <w:rPr>
          <w:rFonts w:ascii="Arial" w:hAnsi="Arial" w:cs="Arial"/>
          <w:b/>
          <w:bCs/>
          <w:sz w:val="20"/>
          <w:szCs w:val="20"/>
          <w:lang w:val="en-US"/>
        </w:rPr>
        <w:t xml:space="preserve">Supplementary </w:t>
      </w:r>
      <w:r>
        <w:rPr>
          <w:rFonts w:ascii="Arial" w:hAnsi="Arial" w:cs="Arial"/>
          <w:b/>
          <w:bCs/>
          <w:sz w:val="20"/>
          <w:szCs w:val="20"/>
          <w:lang w:val="en-US"/>
        </w:rPr>
        <w:t>5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58"/>
        <w:gridCol w:w="372"/>
        <w:gridCol w:w="1774"/>
        <w:gridCol w:w="2137"/>
        <w:gridCol w:w="1421"/>
      </w:tblGrid>
      <w:tr w:rsidR="0036712A" w:rsidRPr="001E3B29" w14:paraId="186C0C40" w14:textId="77777777" w:rsidTr="008B65F0">
        <w:tc>
          <w:tcPr>
            <w:tcW w:w="0" w:type="auto"/>
            <w:vAlign w:val="center"/>
            <w:hideMark/>
          </w:tcPr>
          <w:p w14:paraId="036C01D4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Domain / analysis</w:t>
            </w:r>
          </w:p>
        </w:tc>
        <w:tc>
          <w:tcPr>
            <w:tcW w:w="0" w:type="auto"/>
            <w:vAlign w:val="center"/>
            <w:hideMark/>
          </w:tcPr>
          <w:p w14:paraId="618EE2D4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1A0BD6D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Descriptive pattern</w:t>
            </w:r>
          </w:p>
        </w:tc>
        <w:tc>
          <w:tcPr>
            <w:tcW w:w="0" w:type="auto"/>
            <w:vAlign w:val="center"/>
            <w:hideMark/>
          </w:tcPr>
          <w:p w14:paraId="4E8FD357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Test results</w:t>
            </w:r>
          </w:p>
        </w:tc>
        <w:tc>
          <w:tcPr>
            <w:tcW w:w="0" w:type="auto"/>
            <w:vAlign w:val="center"/>
            <w:hideMark/>
          </w:tcPr>
          <w:p w14:paraId="7EAB9B26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Effect size</w:t>
            </w:r>
          </w:p>
        </w:tc>
      </w:tr>
      <w:tr w:rsidR="0036712A" w:rsidRPr="001E3B29" w14:paraId="53C99B84" w14:textId="77777777" w:rsidTr="008B65F0">
        <w:tc>
          <w:tcPr>
            <w:tcW w:w="0" w:type="auto"/>
            <w:vAlign w:val="center"/>
            <w:hideMark/>
          </w:tcPr>
          <w:p w14:paraId="041EA814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Obstetrics: baseline standard device (T0a) vs immediate post-training POCUS (T0b)</w:t>
            </w:r>
          </w:p>
        </w:tc>
        <w:tc>
          <w:tcPr>
            <w:tcW w:w="0" w:type="auto"/>
            <w:vAlign w:val="center"/>
            <w:hideMark/>
          </w:tcPr>
          <w:p w14:paraId="2722BCEB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7AB638F1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4.03 to 3.85; mean difference = -0.18</w:t>
            </w:r>
          </w:p>
        </w:tc>
        <w:tc>
          <w:tcPr>
            <w:tcW w:w="0" w:type="auto"/>
            <w:vAlign w:val="center"/>
            <w:hideMark/>
          </w:tcPr>
          <w:p w14:paraId="3BB370E2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paired t-test: p = .591</w:t>
            </w:r>
          </w:p>
        </w:tc>
        <w:tc>
          <w:tcPr>
            <w:tcW w:w="0" w:type="auto"/>
            <w:vAlign w:val="center"/>
            <w:hideMark/>
          </w:tcPr>
          <w:p w14:paraId="6DFE6730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= -0.12</w:t>
            </w:r>
          </w:p>
        </w:tc>
      </w:tr>
      <w:tr w:rsidR="0036712A" w:rsidRPr="001E3B29" w14:paraId="04C551F3" w14:textId="77777777" w:rsidTr="008B65F0">
        <w:tc>
          <w:tcPr>
            <w:tcW w:w="0" w:type="auto"/>
            <w:vAlign w:val="center"/>
            <w:hideMark/>
          </w:tcPr>
          <w:p w14:paraId="785FF330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Obstetrics: longitudinal omnibus test (T0b-T3)</w:t>
            </w:r>
          </w:p>
        </w:tc>
        <w:tc>
          <w:tcPr>
            <w:tcW w:w="0" w:type="auto"/>
            <w:vAlign w:val="center"/>
            <w:hideMark/>
          </w:tcPr>
          <w:p w14:paraId="14016948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530B7C4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4.06, 4.92, 4.95, 5.11</w:t>
            </w:r>
          </w:p>
        </w:tc>
        <w:tc>
          <w:tcPr>
            <w:tcW w:w="0" w:type="auto"/>
            <w:vAlign w:val="center"/>
            <w:hideMark/>
          </w:tcPr>
          <w:p w14:paraId="09068E0F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mixed-effects model: p &lt; .001; Friedman: p &lt; .001</w:t>
            </w:r>
          </w:p>
        </w:tc>
        <w:tc>
          <w:tcPr>
            <w:tcW w:w="0" w:type="auto"/>
            <w:vAlign w:val="center"/>
            <w:hideMark/>
          </w:tcPr>
          <w:p w14:paraId="5B847D3C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T0b to T3 = 1.02 [0.66, 1.62]</w:t>
            </w:r>
          </w:p>
        </w:tc>
      </w:tr>
      <w:tr w:rsidR="0036712A" w:rsidRPr="001E3B29" w14:paraId="70032BD7" w14:textId="77777777" w:rsidTr="008B65F0">
        <w:tc>
          <w:tcPr>
            <w:tcW w:w="0" w:type="auto"/>
            <w:vAlign w:val="center"/>
            <w:hideMark/>
          </w:tcPr>
          <w:p w14:paraId="20E58104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Obstetrics: pairwise T0b vs T1</w:t>
            </w:r>
          </w:p>
        </w:tc>
        <w:tc>
          <w:tcPr>
            <w:tcW w:w="0" w:type="auto"/>
            <w:vAlign w:val="center"/>
            <w:hideMark/>
          </w:tcPr>
          <w:p w14:paraId="1F93309A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6CBC359F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+0.85</w:t>
            </w:r>
          </w:p>
        </w:tc>
        <w:tc>
          <w:tcPr>
            <w:tcW w:w="0" w:type="auto"/>
            <w:vAlign w:val="center"/>
            <w:hideMark/>
          </w:tcPr>
          <w:p w14:paraId="0B61FF03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t-test: p = .002; Bonferroni p = .014</w:t>
            </w:r>
          </w:p>
        </w:tc>
        <w:tc>
          <w:tcPr>
            <w:tcW w:w="0" w:type="auto"/>
            <w:vAlign w:val="center"/>
            <w:hideMark/>
          </w:tcPr>
          <w:p w14:paraId="4980DF4B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= 0.82</w:t>
            </w:r>
          </w:p>
        </w:tc>
      </w:tr>
      <w:tr w:rsidR="0036712A" w:rsidRPr="001E3B29" w14:paraId="2F97305F" w14:textId="77777777" w:rsidTr="008B65F0">
        <w:tc>
          <w:tcPr>
            <w:tcW w:w="0" w:type="auto"/>
            <w:vAlign w:val="center"/>
            <w:hideMark/>
          </w:tcPr>
          <w:p w14:paraId="44B5D104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Obstetrics: pairwise T0b vs T2</w:t>
            </w:r>
          </w:p>
        </w:tc>
        <w:tc>
          <w:tcPr>
            <w:tcW w:w="0" w:type="auto"/>
            <w:vAlign w:val="center"/>
            <w:hideMark/>
          </w:tcPr>
          <w:p w14:paraId="0E204E50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8690DF6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+0.89</w:t>
            </w:r>
          </w:p>
        </w:tc>
        <w:tc>
          <w:tcPr>
            <w:tcW w:w="0" w:type="auto"/>
            <w:vAlign w:val="center"/>
            <w:hideMark/>
          </w:tcPr>
          <w:p w14:paraId="41494100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t-test: p = .005; Bonferroni p = .027</w:t>
            </w:r>
          </w:p>
        </w:tc>
        <w:tc>
          <w:tcPr>
            <w:tcW w:w="0" w:type="auto"/>
            <w:vAlign w:val="center"/>
            <w:hideMark/>
          </w:tcPr>
          <w:p w14:paraId="324F8467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= 0.74</w:t>
            </w:r>
          </w:p>
        </w:tc>
      </w:tr>
      <w:tr w:rsidR="0036712A" w:rsidRPr="001E3B29" w14:paraId="6CB6891F" w14:textId="77777777" w:rsidTr="008B65F0">
        <w:tc>
          <w:tcPr>
            <w:tcW w:w="0" w:type="auto"/>
            <w:vAlign w:val="center"/>
            <w:hideMark/>
          </w:tcPr>
          <w:p w14:paraId="562774E4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Obstetrics: pairwise T0b vs T3</w:t>
            </w:r>
          </w:p>
        </w:tc>
        <w:tc>
          <w:tcPr>
            <w:tcW w:w="0" w:type="auto"/>
            <w:vAlign w:val="center"/>
            <w:hideMark/>
          </w:tcPr>
          <w:p w14:paraId="42BC3A80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A1D1B03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+1.05</w:t>
            </w:r>
          </w:p>
        </w:tc>
        <w:tc>
          <w:tcPr>
            <w:tcW w:w="0" w:type="auto"/>
            <w:vAlign w:val="center"/>
            <w:hideMark/>
          </w:tcPr>
          <w:p w14:paraId="59A22C1D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t-test: p &lt; .001; Bonferroni p = .002</w:t>
            </w:r>
          </w:p>
        </w:tc>
        <w:tc>
          <w:tcPr>
            <w:tcW w:w="0" w:type="auto"/>
            <w:vAlign w:val="center"/>
            <w:hideMark/>
          </w:tcPr>
          <w:p w14:paraId="3D832F33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= 1.02</w:t>
            </w:r>
          </w:p>
        </w:tc>
      </w:tr>
      <w:tr w:rsidR="0036712A" w:rsidRPr="001E3B29" w14:paraId="2AAF0970" w14:textId="77777777" w:rsidTr="008B65F0">
        <w:tc>
          <w:tcPr>
            <w:tcW w:w="0" w:type="auto"/>
            <w:vAlign w:val="center"/>
            <w:hideMark/>
          </w:tcPr>
          <w:p w14:paraId="31B7630C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Gynecology: baseline standard device (T0a) vs immediate post-training POCUS (T0b)</w:t>
            </w:r>
          </w:p>
        </w:tc>
        <w:tc>
          <w:tcPr>
            <w:tcW w:w="0" w:type="auto"/>
            <w:vAlign w:val="center"/>
            <w:hideMark/>
          </w:tcPr>
          <w:p w14:paraId="635F95B4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4FF0C21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4.89 to 4.57; mean difference = -0.32</w:t>
            </w:r>
          </w:p>
        </w:tc>
        <w:tc>
          <w:tcPr>
            <w:tcW w:w="0" w:type="auto"/>
            <w:vAlign w:val="center"/>
            <w:hideMark/>
          </w:tcPr>
          <w:p w14:paraId="278143DA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paired t-test: p = .257</w:t>
            </w:r>
          </w:p>
        </w:tc>
        <w:tc>
          <w:tcPr>
            <w:tcW w:w="0" w:type="auto"/>
            <w:vAlign w:val="center"/>
            <w:hideMark/>
          </w:tcPr>
          <w:p w14:paraId="2514D152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= -0.25</w:t>
            </w:r>
          </w:p>
        </w:tc>
      </w:tr>
      <w:tr w:rsidR="0036712A" w:rsidRPr="001E3B29" w14:paraId="5C4E4902" w14:textId="77777777" w:rsidTr="008B65F0">
        <w:trPr>
          <w:trHeight w:val="73"/>
        </w:trPr>
        <w:tc>
          <w:tcPr>
            <w:tcW w:w="0" w:type="auto"/>
            <w:vAlign w:val="center"/>
            <w:hideMark/>
          </w:tcPr>
          <w:p w14:paraId="1809CE94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Gynecology: longitudinal omnibus test (T0b-T3)</w:t>
            </w:r>
          </w:p>
        </w:tc>
        <w:tc>
          <w:tcPr>
            <w:tcW w:w="0" w:type="auto"/>
            <w:vAlign w:val="center"/>
            <w:hideMark/>
          </w:tcPr>
          <w:p w14:paraId="4B46C2C8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4AB4347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4.66, 5.57, 5.52, 5.84</w:t>
            </w:r>
          </w:p>
        </w:tc>
        <w:tc>
          <w:tcPr>
            <w:tcW w:w="0" w:type="auto"/>
            <w:vAlign w:val="center"/>
            <w:hideMark/>
          </w:tcPr>
          <w:p w14:paraId="6940E5B7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mixed-effects model: p &lt; .001; Friedman: p = .007</w:t>
            </w:r>
          </w:p>
        </w:tc>
        <w:tc>
          <w:tcPr>
            <w:tcW w:w="0" w:type="auto"/>
            <w:vAlign w:val="center"/>
            <w:hideMark/>
          </w:tcPr>
          <w:p w14:paraId="79B97F1C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T0b to T3 = 0.90 [0.51, 1.49]</w:t>
            </w:r>
          </w:p>
        </w:tc>
      </w:tr>
      <w:tr w:rsidR="0036712A" w:rsidRPr="001E3B29" w14:paraId="5B578522" w14:textId="77777777" w:rsidTr="008B65F0">
        <w:tc>
          <w:tcPr>
            <w:tcW w:w="0" w:type="auto"/>
            <w:vAlign w:val="center"/>
            <w:hideMark/>
          </w:tcPr>
          <w:p w14:paraId="4253CAE3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Gynecology: pairwise T0b vs T1</w:t>
            </w:r>
          </w:p>
        </w:tc>
        <w:tc>
          <w:tcPr>
            <w:tcW w:w="0" w:type="auto"/>
            <w:vAlign w:val="center"/>
            <w:hideMark/>
          </w:tcPr>
          <w:p w14:paraId="239B354B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4583506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+0.91</w:t>
            </w:r>
          </w:p>
        </w:tc>
        <w:tc>
          <w:tcPr>
            <w:tcW w:w="0" w:type="auto"/>
            <w:vAlign w:val="center"/>
            <w:hideMark/>
          </w:tcPr>
          <w:p w14:paraId="16F6D231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t-test: p = .002; Bonferroni p = .015</w:t>
            </w:r>
          </w:p>
        </w:tc>
        <w:tc>
          <w:tcPr>
            <w:tcW w:w="0" w:type="auto"/>
            <w:vAlign w:val="center"/>
            <w:hideMark/>
          </w:tcPr>
          <w:p w14:paraId="15EA5F52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= 0.81</w:t>
            </w:r>
          </w:p>
        </w:tc>
      </w:tr>
      <w:tr w:rsidR="0036712A" w:rsidRPr="001E3B29" w14:paraId="432E98ED" w14:textId="77777777" w:rsidTr="008B65F0">
        <w:tc>
          <w:tcPr>
            <w:tcW w:w="0" w:type="auto"/>
            <w:vAlign w:val="center"/>
            <w:hideMark/>
          </w:tcPr>
          <w:p w14:paraId="479B59F8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Gynecology: pairwise T0b vs T2</w:t>
            </w:r>
          </w:p>
        </w:tc>
        <w:tc>
          <w:tcPr>
            <w:tcW w:w="0" w:type="auto"/>
            <w:vAlign w:val="center"/>
            <w:hideMark/>
          </w:tcPr>
          <w:p w14:paraId="2DD75929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9843A1C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+0.86</w:t>
            </w:r>
          </w:p>
        </w:tc>
        <w:tc>
          <w:tcPr>
            <w:tcW w:w="0" w:type="auto"/>
            <w:vAlign w:val="center"/>
            <w:hideMark/>
          </w:tcPr>
          <w:p w14:paraId="20B61133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t-test: p = .013; Bonferroni p = .077</w:t>
            </w:r>
          </w:p>
        </w:tc>
        <w:tc>
          <w:tcPr>
            <w:tcW w:w="0" w:type="auto"/>
            <w:vAlign w:val="center"/>
            <w:hideMark/>
          </w:tcPr>
          <w:p w14:paraId="03BEA0E1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= 0.63</w:t>
            </w:r>
          </w:p>
        </w:tc>
      </w:tr>
      <w:tr w:rsidR="0036712A" w:rsidRPr="001E3B29" w14:paraId="2FE3ACE2" w14:textId="77777777" w:rsidTr="008B65F0">
        <w:tc>
          <w:tcPr>
            <w:tcW w:w="0" w:type="auto"/>
            <w:vAlign w:val="center"/>
            <w:hideMark/>
          </w:tcPr>
          <w:p w14:paraId="6DAD96FC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Gynecology: pairwise T0b vs T3</w:t>
            </w:r>
          </w:p>
        </w:tc>
        <w:tc>
          <w:tcPr>
            <w:tcW w:w="0" w:type="auto"/>
            <w:vAlign w:val="center"/>
            <w:hideMark/>
          </w:tcPr>
          <w:p w14:paraId="3786280D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0BB40C8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+1.18</w:t>
            </w:r>
          </w:p>
        </w:tc>
        <w:tc>
          <w:tcPr>
            <w:tcW w:w="0" w:type="auto"/>
            <w:vAlign w:val="center"/>
            <w:hideMark/>
          </w:tcPr>
          <w:p w14:paraId="1AB10C21" w14:textId="77777777" w:rsidR="0036712A" w:rsidRPr="00BB3F5C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</w:pPr>
            <w:r w:rsidRPr="00BB3F5C">
              <w:rPr>
                <w:rFonts w:ascii="Arial" w:hAnsi="Arial" w:cs="Arial"/>
                <w:color w:val="000000" w:themeColor="text1"/>
                <w:sz w:val="14"/>
                <w:szCs w:val="14"/>
                <w:lang w:val="en-GB"/>
              </w:rPr>
              <w:t>t-test: p &lt; .001; Bonferroni p = .006</w:t>
            </w:r>
          </w:p>
        </w:tc>
        <w:tc>
          <w:tcPr>
            <w:tcW w:w="0" w:type="auto"/>
            <w:vAlign w:val="center"/>
            <w:hideMark/>
          </w:tcPr>
          <w:p w14:paraId="152B0ECE" w14:textId="77777777" w:rsidR="0036712A" w:rsidRPr="001E3B29" w:rsidRDefault="0036712A" w:rsidP="008B65F0">
            <w:pPr>
              <w:pStyle w:val="StandardWeb"/>
              <w:spacing w:line="480" w:lineRule="auto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3B29">
              <w:rPr>
                <w:rFonts w:ascii="Arial" w:hAnsi="Arial" w:cs="Arial"/>
                <w:color w:val="000000" w:themeColor="text1"/>
                <w:sz w:val="14"/>
                <w:szCs w:val="14"/>
              </w:rPr>
              <w:t>dz = 0.90</w:t>
            </w:r>
          </w:p>
        </w:tc>
      </w:tr>
    </w:tbl>
    <w:p w14:paraId="4C6C2ED8" w14:textId="77777777" w:rsidR="0036712A" w:rsidRPr="00603CFA" w:rsidRDefault="0036712A" w:rsidP="0036712A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4878B4EB" w14:textId="77777777" w:rsidR="00F14E56" w:rsidRDefault="00F14E56"/>
    <w:sectPr w:rsidR="00F14E56" w:rsidSect="00DC065F">
      <w:pgSz w:w="11906" w:h="16838"/>
      <w:pgMar w:top="1417" w:right="1417" w:bottom="1134" w:left="1417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2A"/>
    <w:rsid w:val="00186331"/>
    <w:rsid w:val="00262FCA"/>
    <w:rsid w:val="0036712A"/>
    <w:rsid w:val="005A5E7B"/>
    <w:rsid w:val="00822B88"/>
    <w:rsid w:val="00A30CB0"/>
    <w:rsid w:val="00DC065F"/>
    <w:rsid w:val="00F14E56"/>
    <w:rsid w:val="00F3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0F22FC"/>
  <w15:chartTrackingRefBased/>
  <w15:docId w15:val="{93851454-31DA-0D43-BD63-F9BDA30FD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6712A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7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7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71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71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71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71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71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71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71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67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7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7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712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712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712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712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712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71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671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67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671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67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6712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6712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6712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6712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67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712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6712A"/>
    <w:rPr>
      <w:b/>
      <w:bCs/>
      <w:smallCaps/>
      <w:color w:val="0F4761" w:themeColor="accent1" w:themeShade="BF"/>
      <w:spacing w:val="5"/>
    </w:rPr>
  </w:style>
  <w:style w:type="character" w:styleId="Zeilennummer">
    <w:name w:val="line number"/>
    <w:basedOn w:val="Absatz-Standardschriftart"/>
    <w:uiPriority w:val="99"/>
    <w:semiHidden/>
    <w:unhideWhenUsed/>
    <w:rsid w:val="0036712A"/>
  </w:style>
  <w:style w:type="table" w:styleId="Tabellenraster">
    <w:name w:val="Table Grid"/>
    <w:basedOn w:val="NormaleTabelle"/>
    <w:uiPriority w:val="39"/>
    <w:rsid w:val="0036712A"/>
    <w:rPr>
      <w:rFonts w:cs="Times New Roman (Textkörper CS)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36712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Griewing</dc:creator>
  <cp:keywords/>
  <dc:description/>
  <cp:lastModifiedBy>Sebastian Griewing</cp:lastModifiedBy>
  <cp:revision>1</cp:revision>
  <dcterms:created xsi:type="dcterms:W3CDTF">2026-05-24T09:58:00Z</dcterms:created>
  <dcterms:modified xsi:type="dcterms:W3CDTF">2026-05-24T09:58:00Z</dcterms:modified>
</cp:coreProperties>
</file>