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DE3889" w14:textId="39F13A42" w:rsidR="000858EC" w:rsidRPr="00D262BA" w:rsidRDefault="00426660">
      <w:pPr>
        <w:jc w:val="center"/>
        <w:rPr>
          <w:rFonts w:ascii="Times New Roman" w:hAnsi="Times New Roman" w:cs="Times New Roman"/>
          <w:color w:val="000000" w:themeColor="text1"/>
        </w:rPr>
      </w:pPr>
      <w:bookmarkStart w:id="0" w:name="OLE_LINK171"/>
      <w:bookmarkStart w:id="1" w:name="OLE_LINK172"/>
      <w:bookmarkStart w:id="2" w:name="OLE_LINK173"/>
      <w:r w:rsidRPr="00473156">
        <w:rPr>
          <w:rFonts w:ascii="Times New Roman" w:hAnsi="Times New Roman" w:cs="Times New Roman"/>
          <w:b/>
          <w:color w:val="000000" w:themeColor="text1"/>
          <w:sz w:val="32"/>
        </w:rPr>
        <w:t>Supplementary Material</w:t>
      </w:r>
      <w:bookmarkEnd w:id="0"/>
      <w:r w:rsidR="00D92A9D" w:rsidRPr="00D262BA">
        <w:rPr>
          <w:rFonts w:ascii="Times New Roman" w:hAnsi="Times New Roman" w:cs="Times New Roman"/>
          <w:b/>
          <w:color w:val="000000" w:themeColor="text1"/>
          <w:sz w:val="32"/>
        </w:rPr>
        <w:t xml:space="preserve"> 1</w:t>
      </w:r>
    </w:p>
    <w:p w14:paraId="12A51532" w14:textId="77777777" w:rsidR="00DD74EE" w:rsidRDefault="00DD74EE" w:rsidP="00DD74EE">
      <w:pPr>
        <w:pStyle w:val="1"/>
        <w:jc w:val="center"/>
        <w:rPr>
          <w:rFonts w:ascii="Times New Roman" w:eastAsiaTheme="minorEastAsia" w:hAnsi="Times New Roman" w:cs="Times New Roman"/>
          <w:b w:val="0"/>
          <w:bCs w:val="0"/>
          <w:i/>
          <w:color w:val="000000" w:themeColor="text1"/>
          <w:sz w:val="22"/>
          <w:szCs w:val="22"/>
        </w:rPr>
      </w:pPr>
      <w:bookmarkStart w:id="3" w:name="OLE_LINK124"/>
      <w:bookmarkEnd w:id="2"/>
      <w:r w:rsidRPr="00DD74EE">
        <w:rPr>
          <w:rFonts w:ascii="Times New Roman" w:eastAsiaTheme="minorEastAsia" w:hAnsi="Times New Roman" w:cs="Times New Roman"/>
          <w:b w:val="0"/>
          <w:bCs w:val="0"/>
          <w:i/>
          <w:color w:val="000000" w:themeColor="text1"/>
          <w:sz w:val="22"/>
          <w:szCs w:val="22"/>
        </w:rPr>
        <w:t>Drawing-Performance Scoring Rubric and TALES</w:t>
      </w:r>
    </w:p>
    <w:p w14:paraId="04EBB48A" w14:textId="40297CCA" w:rsidR="000858EC" w:rsidRPr="00D262BA" w:rsidRDefault="00000000">
      <w:pPr>
        <w:pStyle w:val="1"/>
        <w:rPr>
          <w:rFonts w:ascii="Times New Roman" w:hAnsi="Times New Roman" w:cs="Times New Roman"/>
          <w:color w:val="000000" w:themeColor="text1"/>
        </w:rPr>
      </w:pPr>
      <w:r w:rsidRPr="00D262BA">
        <w:rPr>
          <w:rFonts w:ascii="Times New Roman" w:hAnsi="Times New Roman" w:cs="Times New Roman"/>
          <w:color w:val="000000" w:themeColor="text1"/>
        </w:rPr>
        <w:t>1. Drawing-Performance Scoring Rubric</w:t>
      </w:r>
    </w:p>
    <w:p w14:paraId="238CFE72" w14:textId="73CE4CF3" w:rsidR="00DD74EE" w:rsidRPr="00D262BA" w:rsidRDefault="00DD74EE">
      <w:pPr>
        <w:rPr>
          <w:rFonts w:ascii="Times New Roman" w:hAnsi="Times New Roman" w:cs="Times New Roman"/>
          <w:color w:val="000000" w:themeColor="text1"/>
        </w:rPr>
      </w:pPr>
      <w:r w:rsidRPr="00DD74EE">
        <w:rPr>
          <w:rFonts w:ascii="Times New Roman" w:hAnsi="Times New Roman" w:cs="Times New Roman"/>
          <w:color w:val="000000" w:themeColor="text1"/>
        </w:rPr>
        <w:t>Drawing performance was evaluated on a 100-point scale across four dimensions: structural completeness, proportional accuracy, adjacency accuracy, and artistic quality. The definitions and score ranges are shown below.</w:t>
      </w:r>
    </w:p>
    <w:tbl>
      <w:tblPr>
        <w:tblStyle w:val="aff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2"/>
        <w:gridCol w:w="1793"/>
        <w:gridCol w:w="4541"/>
      </w:tblGrid>
      <w:tr w:rsidR="00DD74EE" w:rsidRPr="00D262BA" w14:paraId="29EC4E16" w14:textId="77777777" w:rsidTr="00DD74EE">
        <w:trPr>
          <w:jc w:val="center"/>
        </w:trPr>
        <w:tc>
          <w:tcPr>
            <w:tcW w:w="1693" w:type="pct"/>
            <w:tcBorders>
              <w:top w:val="single" w:sz="8" w:space="0" w:color="000000"/>
              <w:bottom w:val="single" w:sz="4" w:space="0" w:color="000000"/>
            </w:tcBorders>
            <w:shd w:val="clear" w:color="auto" w:fill="F2F4F7"/>
            <w:vAlign w:val="center"/>
          </w:tcPr>
          <w:p w14:paraId="15FB163A" w14:textId="77777777" w:rsidR="00DD74EE" w:rsidRPr="00D262BA" w:rsidRDefault="00DD74EE">
            <w:pPr>
              <w:jc w:val="center"/>
              <w:rPr>
                <w:rFonts w:ascii="Times New Roman" w:hAnsi="Times New Roman" w:cs="Times New Roman"/>
                <w:color w:val="000000" w:themeColor="text1"/>
              </w:rPr>
            </w:pPr>
            <w:r w:rsidRPr="00D262BA">
              <w:rPr>
                <w:rFonts w:ascii="Times New Roman" w:hAnsi="Times New Roman" w:cs="Times New Roman"/>
                <w:b/>
                <w:color w:val="000000" w:themeColor="text1"/>
              </w:rPr>
              <w:t>Dimension</w:t>
            </w:r>
          </w:p>
        </w:tc>
        <w:tc>
          <w:tcPr>
            <w:tcW w:w="936" w:type="pct"/>
            <w:tcBorders>
              <w:top w:val="single" w:sz="8" w:space="0" w:color="000000"/>
              <w:bottom w:val="single" w:sz="4" w:space="0" w:color="000000"/>
            </w:tcBorders>
            <w:shd w:val="clear" w:color="auto" w:fill="F2F4F7"/>
            <w:vAlign w:val="center"/>
          </w:tcPr>
          <w:p w14:paraId="5C907C52" w14:textId="77777777" w:rsidR="00DD74EE" w:rsidRPr="00D262BA" w:rsidRDefault="00DD74EE">
            <w:pPr>
              <w:jc w:val="center"/>
              <w:rPr>
                <w:rFonts w:ascii="Times New Roman" w:hAnsi="Times New Roman" w:cs="Times New Roman"/>
                <w:color w:val="000000" w:themeColor="text1"/>
              </w:rPr>
            </w:pPr>
            <w:r w:rsidRPr="00D262BA">
              <w:rPr>
                <w:rFonts w:ascii="Times New Roman" w:hAnsi="Times New Roman" w:cs="Times New Roman"/>
                <w:b/>
                <w:color w:val="000000" w:themeColor="text1"/>
              </w:rPr>
              <w:t>Maximum score</w:t>
            </w:r>
          </w:p>
        </w:tc>
        <w:tc>
          <w:tcPr>
            <w:tcW w:w="2371" w:type="pct"/>
            <w:tcBorders>
              <w:top w:val="single" w:sz="8" w:space="0" w:color="000000"/>
              <w:bottom w:val="single" w:sz="4" w:space="0" w:color="000000"/>
            </w:tcBorders>
            <w:shd w:val="clear" w:color="auto" w:fill="F2F4F7"/>
            <w:vAlign w:val="center"/>
          </w:tcPr>
          <w:p w14:paraId="2DFE3A0B" w14:textId="0ACFD2D8" w:rsidR="00DD74EE" w:rsidRPr="00D262BA" w:rsidRDefault="00DD74EE">
            <w:pPr>
              <w:jc w:val="center"/>
              <w:rPr>
                <w:rFonts w:ascii="Times New Roman" w:hAnsi="Times New Roman" w:cs="Times New Roman"/>
                <w:color w:val="000000" w:themeColor="text1"/>
              </w:rPr>
            </w:pPr>
            <w:r w:rsidRPr="00DD74EE">
              <w:rPr>
                <w:rFonts w:ascii="Times New Roman" w:hAnsi="Times New Roman" w:cs="Times New Roman"/>
                <w:b/>
                <w:color w:val="000000" w:themeColor="text1"/>
              </w:rPr>
              <w:t>Definition</w:t>
            </w:r>
          </w:p>
        </w:tc>
      </w:tr>
      <w:tr w:rsidR="00DD74EE" w:rsidRPr="00D262BA" w14:paraId="6B7FA8EC" w14:textId="77777777" w:rsidTr="00DD74EE">
        <w:trPr>
          <w:jc w:val="center"/>
        </w:trPr>
        <w:tc>
          <w:tcPr>
            <w:tcW w:w="1693" w:type="pct"/>
            <w:tcBorders>
              <w:top w:val="single" w:sz="4" w:space="0" w:color="000000"/>
            </w:tcBorders>
            <w:vAlign w:val="center"/>
          </w:tcPr>
          <w:p w14:paraId="697C7DED" w14:textId="77777777" w:rsidR="00DD74EE" w:rsidRPr="00D262BA" w:rsidRDefault="00DD74EE">
            <w:pPr>
              <w:rPr>
                <w:rFonts w:ascii="Times New Roman" w:hAnsi="Times New Roman" w:cs="Times New Roman"/>
                <w:color w:val="000000" w:themeColor="text1"/>
              </w:rPr>
            </w:pPr>
            <w:r w:rsidRPr="00D262BA">
              <w:rPr>
                <w:rFonts w:ascii="Times New Roman" w:hAnsi="Times New Roman" w:cs="Times New Roman"/>
                <w:color w:val="000000" w:themeColor="text1"/>
              </w:rPr>
              <w:t>Structural completeness (SC)</w:t>
            </w:r>
          </w:p>
        </w:tc>
        <w:tc>
          <w:tcPr>
            <w:tcW w:w="936" w:type="pct"/>
            <w:tcBorders>
              <w:top w:val="single" w:sz="4" w:space="0" w:color="000000"/>
            </w:tcBorders>
            <w:vAlign w:val="center"/>
          </w:tcPr>
          <w:p w14:paraId="67F7E86D" w14:textId="77777777" w:rsidR="00DD74EE" w:rsidRPr="00D262BA" w:rsidRDefault="00DD74EE">
            <w:pPr>
              <w:rPr>
                <w:rFonts w:ascii="Times New Roman" w:hAnsi="Times New Roman" w:cs="Times New Roman"/>
                <w:color w:val="000000" w:themeColor="text1"/>
              </w:rPr>
            </w:pPr>
            <w:r w:rsidRPr="00D262BA">
              <w:rPr>
                <w:rFonts w:ascii="Times New Roman" w:hAnsi="Times New Roman" w:cs="Times New Roman"/>
                <w:color w:val="000000" w:themeColor="text1"/>
              </w:rPr>
              <w:t>30</w:t>
            </w:r>
          </w:p>
        </w:tc>
        <w:tc>
          <w:tcPr>
            <w:tcW w:w="2371" w:type="pct"/>
            <w:tcBorders>
              <w:top w:val="single" w:sz="4" w:space="0" w:color="000000"/>
            </w:tcBorders>
            <w:vAlign w:val="center"/>
          </w:tcPr>
          <w:p w14:paraId="2C9C9D0D" w14:textId="55515B40" w:rsidR="00DD74EE" w:rsidRPr="00D262BA" w:rsidRDefault="00DD74EE">
            <w:pPr>
              <w:rPr>
                <w:rFonts w:ascii="Times New Roman" w:hAnsi="Times New Roman" w:cs="Times New Roman"/>
                <w:color w:val="000000" w:themeColor="text1"/>
              </w:rPr>
            </w:pPr>
            <w:r>
              <w:t>Completeness and anatomical identifiability of key cranial structures shown in the standardized reference template.</w:t>
            </w:r>
          </w:p>
        </w:tc>
      </w:tr>
      <w:tr w:rsidR="00DD74EE" w:rsidRPr="00D262BA" w14:paraId="245EA0FE" w14:textId="77777777" w:rsidTr="00DD74EE">
        <w:trPr>
          <w:jc w:val="center"/>
        </w:trPr>
        <w:tc>
          <w:tcPr>
            <w:tcW w:w="1693" w:type="pct"/>
            <w:vAlign w:val="center"/>
          </w:tcPr>
          <w:p w14:paraId="1B805694" w14:textId="77777777" w:rsidR="00DD74EE" w:rsidRPr="00D262BA" w:rsidRDefault="00DD74EE">
            <w:pPr>
              <w:rPr>
                <w:rFonts w:ascii="Times New Roman" w:hAnsi="Times New Roman" w:cs="Times New Roman"/>
                <w:color w:val="000000" w:themeColor="text1"/>
              </w:rPr>
            </w:pPr>
            <w:r w:rsidRPr="00D262BA">
              <w:rPr>
                <w:rFonts w:ascii="Times New Roman" w:hAnsi="Times New Roman" w:cs="Times New Roman"/>
                <w:color w:val="000000" w:themeColor="text1"/>
              </w:rPr>
              <w:t>Proportional accuracy (PA)</w:t>
            </w:r>
          </w:p>
        </w:tc>
        <w:tc>
          <w:tcPr>
            <w:tcW w:w="936" w:type="pct"/>
            <w:vAlign w:val="center"/>
          </w:tcPr>
          <w:p w14:paraId="25863460" w14:textId="77777777" w:rsidR="00DD74EE" w:rsidRPr="00D262BA" w:rsidRDefault="00DD74EE">
            <w:pPr>
              <w:rPr>
                <w:rFonts w:ascii="Times New Roman" w:hAnsi="Times New Roman" w:cs="Times New Roman"/>
                <w:color w:val="000000" w:themeColor="text1"/>
              </w:rPr>
            </w:pPr>
            <w:r w:rsidRPr="00D262BA">
              <w:rPr>
                <w:rFonts w:ascii="Times New Roman" w:hAnsi="Times New Roman" w:cs="Times New Roman"/>
                <w:color w:val="000000" w:themeColor="text1"/>
              </w:rPr>
              <w:t>30</w:t>
            </w:r>
          </w:p>
        </w:tc>
        <w:tc>
          <w:tcPr>
            <w:tcW w:w="2371" w:type="pct"/>
            <w:vAlign w:val="center"/>
          </w:tcPr>
          <w:p w14:paraId="2893FABA" w14:textId="3D908F45" w:rsidR="00DD74EE" w:rsidRPr="00D262BA" w:rsidRDefault="00DD74EE">
            <w:pPr>
              <w:rPr>
                <w:rFonts w:ascii="Times New Roman" w:hAnsi="Times New Roman" w:cs="Times New Roman"/>
                <w:color w:val="000000" w:themeColor="text1"/>
              </w:rPr>
            </w:pPr>
            <w:r>
              <w:t>Accuracy of relative size, scale, contour, and major proportions compared with the standardized 1:1 cranial template.</w:t>
            </w:r>
          </w:p>
        </w:tc>
      </w:tr>
      <w:tr w:rsidR="00DD74EE" w:rsidRPr="00D262BA" w14:paraId="66A3DD67" w14:textId="77777777" w:rsidTr="00DD74EE">
        <w:trPr>
          <w:jc w:val="center"/>
        </w:trPr>
        <w:tc>
          <w:tcPr>
            <w:tcW w:w="1693" w:type="pct"/>
            <w:vAlign w:val="center"/>
          </w:tcPr>
          <w:p w14:paraId="5D53005F" w14:textId="77777777" w:rsidR="00DD74EE" w:rsidRPr="00D262BA" w:rsidRDefault="00DD74EE">
            <w:pPr>
              <w:rPr>
                <w:rFonts w:ascii="Times New Roman" w:hAnsi="Times New Roman" w:cs="Times New Roman"/>
                <w:color w:val="000000" w:themeColor="text1"/>
              </w:rPr>
            </w:pPr>
            <w:r w:rsidRPr="00D262BA">
              <w:rPr>
                <w:rFonts w:ascii="Times New Roman" w:hAnsi="Times New Roman" w:cs="Times New Roman"/>
                <w:color w:val="000000" w:themeColor="text1"/>
              </w:rPr>
              <w:t>Adjacency accuracy (AA)</w:t>
            </w:r>
          </w:p>
        </w:tc>
        <w:tc>
          <w:tcPr>
            <w:tcW w:w="936" w:type="pct"/>
            <w:vAlign w:val="center"/>
          </w:tcPr>
          <w:p w14:paraId="54421D05" w14:textId="77777777" w:rsidR="00DD74EE" w:rsidRPr="00D262BA" w:rsidRDefault="00DD74EE">
            <w:pPr>
              <w:rPr>
                <w:rFonts w:ascii="Times New Roman" w:hAnsi="Times New Roman" w:cs="Times New Roman"/>
                <w:color w:val="000000" w:themeColor="text1"/>
              </w:rPr>
            </w:pPr>
            <w:r w:rsidRPr="00D262BA">
              <w:rPr>
                <w:rFonts w:ascii="Times New Roman" w:hAnsi="Times New Roman" w:cs="Times New Roman"/>
                <w:color w:val="000000" w:themeColor="text1"/>
              </w:rPr>
              <w:t>20</w:t>
            </w:r>
          </w:p>
        </w:tc>
        <w:tc>
          <w:tcPr>
            <w:tcW w:w="2371" w:type="pct"/>
            <w:vAlign w:val="center"/>
          </w:tcPr>
          <w:p w14:paraId="076020DC" w14:textId="3F538251" w:rsidR="00DD74EE" w:rsidRPr="00D262BA" w:rsidRDefault="00DD74EE">
            <w:pPr>
              <w:rPr>
                <w:rFonts w:ascii="Times New Roman" w:hAnsi="Times New Roman" w:cs="Times New Roman"/>
                <w:color w:val="000000" w:themeColor="text1"/>
              </w:rPr>
            </w:pPr>
            <w:r>
              <w:t>Accuracy of the spatial relationships between neighboring structures, including foramina, sutures, and regional anatomical relationships.</w:t>
            </w:r>
          </w:p>
        </w:tc>
      </w:tr>
      <w:tr w:rsidR="00DD74EE" w:rsidRPr="00D262BA" w14:paraId="520CA708" w14:textId="77777777" w:rsidTr="00DD74EE">
        <w:trPr>
          <w:jc w:val="center"/>
        </w:trPr>
        <w:tc>
          <w:tcPr>
            <w:tcW w:w="1693" w:type="pct"/>
            <w:tcBorders>
              <w:bottom w:val="single" w:sz="8" w:space="0" w:color="000000"/>
            </w:tcBorders>
            <w:vAlign w:val="center"/>
          </w:tcPr>
          <w:p w14:paraId="3771A404" w14:textId="77777777" w:rsidR="00DD74EE" w:rsidRPr="00D262BA" w:rsidRDefault="00DD74EE">
            <w:pPr>
              <w:rPr>
                <w:rFonts w:ascii="Times New Roman" w:hAnsi="Times New Roman" w:cs="Times New Roman"/>
                <w:color w:val="000000" w:themeColor="text1"/>
              </w:rPr>
            </w:pPr>
            <w:r w:rsidRPr="00D262BA">
              <w:rPr>
                <w:rFonts w:ascii="Times New Roman" w:hAnsi="Times New Roman" w:cs="Times New Roman"/>
                <w:color w:val="000000" w:themeColor="text1"/>
              </w:rPr>
              <w:t>Artistic quality (AQ)</w:t>
            </w:r>
          </w:p>
        </w:tc>
        <w:tc>
          <w:tcPr>
            <w:tcW w:w="936" w:type="pct"/>
            <w:tcBorders>
              <w:bottom w:val="single" w:sz="8" w:space="0" w:color="000000"/>
            </w:tcBorders>
            <w:vAlign w:val="center"/>
          </w:tcPr>
          <w:p w14:paraId="1DAE0100" w14:textId="77777777" w:rsidR="00DD74EE" w:rsidRPr="00D262BA" w:rsidRDefault="00DD74EE">
            <w:pPr>
              <w:rPr>
                <w:rFonts w:ascii="Times New Roman" w:hAnsi="Times New Roman" w:cs="Times New Roman"/>
                <w:color w:val="000000" w:themeColor="text1"/>
              </w:rPr>
            </w:pPr>
            <w:r w:rsidRPr="00D262BA">
              <w:rPr>
                <w:rFonts w:ascii="Times New Roman" w:hAnsi="Times New Roman" w:cs="Times New Roman"/>
                <w:color w:val="000000" w:themeColor="text1"/>
              </w:rPr>
              <w:t>20</w:t>
            </w:r>
          </w:p>
        </w:tc>
        <w:tc>
          <w:tcPr>
            <w:tcW w:w="2371" w:type="pct"/>
            <w:tcBorders>
              <w:bottom w:val="single" w:sz="8" w:space="0" w:color="000000"/>
            </w:tcBorders>
            <w:vAlign w:val="center"/>
          </w:tcPr>
          <w:p w14:paraId="376924C8" w14:textId="683420A1" w:rsidR="00DD74EE" w:rsidRPr="00D262BA" w:rsidRDefault="00DD74EE">
            <w:pPr>
              <w:rPr>
                <w:rFonts w:ascii="Times New Roman" w:hAnsi="Times New Roman" w:cs="Times New Roman"/>
                <w:color w:val="000000" w:themeColor="text1"/>
              </w:rPr>
            </w:pPr>
            <w:r>
              <w:t>Line clarity, continuity, legibility, and overall visual interpretability, reflecting visual presentation quality rather than artistic talent.</w:t>
            </w:r>
          </w:p>
        </w:tc>
      </w:tr>
    </w:tbl>
    <w:p w14:paraId="4A70C4EF" w14:textId="77777777" w:rsidR="000858EC" w:rsidRPr="00D262BA" w:rsidRDefault="000858EC">
      <w:pPr>
        <w:spacing w:before="40" w:after="40"/>
        <w:rPr>
          <w:rFonts w:ascii="Times New Roman" w:hAnsi="Times New Roman" w:cs="Times New Roman"/>
          <w:color w:val="000000" w:themeColor="text1"/>
        </w:rPr>
      </w:pPr>
    </w:p>
    <w:p w14:paraId="7FD74C37" w14:textId="4DF3A01C" w:rsidR="00DD74EE" w:rsidRPr="00DD74EE" w:rsidRDefault="00DD74EE" w:rsidP="00DD74EE">
      <w:pPr>
        <w:spacing w:before="40" w:after="40"/>
        <w:rPr>
          <w:rFonts w:ascii="Times New Roman" w:hAnsi="Times New Roman" w:cs="Times New Roman"/>
          <w:color w:val="000000" w:themeColor="text1"/>
        </w:rPr>
      </w:pPr>
      <w:bookmarkStart w:id="4" w:name="OLE_LINK1"/>
      <w:r w:rsidRPr="00DD74EE">
        <w:rPr>
          <w:rFonts w:ascii="Times New Roman" w:hAnsi="Times New Roman" w:cs="Times New Roman"/>
          <w:color w:val="000000" w:themeColor="text1"/>
        </w:rPr>
        <w:t>Each dimension was scored globally within its specified range using the standardized cranial template as the common reference. No item-level point-allocation checklist was used.</w:t>
      </w:r>
    </w:p>
    <w:p w14:paraId="10FA7292" w14:textId="0193CF79" w:rsidR="00DD74EE" w:rsidRPr="00DD74EE" w:rsidRDefault="00DD74EE" w:rsidP="00DD74EE">
      <w:pPr>
        <w:spacing w:before="40" w:after="40"/>
        <w:rPr>
          <w:rFonts w:ascii="Times New Roman" w:hAnsi="Times New Roman" w:cs="Times New Roman"/>
          <w:color w:val="000000" w:themeColor="text1"/>
        </w:rPr>
      </w:pPr>
      <w:r w:rsidRPr="00DD74EE">
        <w:rPr>
          <w:rFonts w:ascii="Times New Roman" w:hAnsi="Times New Roman" w:cs="Times New Roman"/>
          <w:color w:val="000000" w:themeColor="text1"/>
        </w:rPr>
        <w:t>Six blinded evaluators, comprising two neurosurgeons, two anatomy instructors, and two art professionals, independently scored each drawing. The final score for each dimension was calculated as the mean of the six evaluator ratings. Inter-rater reliability results are reported in Supplementary Material 2.</w:t>
      </w:r>
    </w:p>
    <w:bookmarkEnd w:id="3"/>
    <w:bookmarkEnd w:id="4"/>
    <w:p w14:paraId="5874A084" w14:textId="77777777" w:rsidR="001D585C" w:rsidRPr="00D262BA" w:rsidRDefault="001D585C">
      <w:pPr>
        <w:rPr>
          <w:rFonts w:ascii="Times New Roman" w:hAnsi="Times New Roman" w:cs="Times New Roman"/>
          <w:color w:val="000000" w:themeColor="text1"/>
        </w:rPr>
      </w:pPr>
    </w:p>
    <w:p w14:paraId="0FA06278" w14:textId="7BCA6BA5" w:rsidR="000858EC" w:rsidRDefault="00000000" w:rsidP="00DD74EE">
      <w:pPr>
        <w:pStyle w:val="1"/>
        <w:rPr>
          <w:rFonts w:ascii="Times New Roman" w:hAnsi="Times New Roman" w:cs="Times New Roman"/>
          <w:color w:val="000000" w:themeColor="text1"/>
        </w:rPr>
      </w:pPr>
      <w:r w:rsidRPr="00D262BA">
        <w:rPr>
          <w:rFonts w:ascii="Times New Roman" w:hAnsi="Times New Roman" w:cs="Times New Roman"/>
          <w:color w:val="000000" w:themeColor="text1"/>
        </w:rPr>
        <w:t xml:space="preserve">2. </w:t>
      </w:r>
      <w:r w:rsidR="00DD74EE" w:rsidRPr="00DD74EE">
        <w:rPr>
          <w:rFonts w:ascii="Times New Roman" w:hAnsi="Times New Roman" w:cs="Times New Roman"/>
          <w:color w:val="000000" w:themeColor="text1"/>
        </w:rPr>
        <w:t>TALES</w:t>
      </w:r>
      <w:r w:rsidR="00DD74EE" w:rsidRPr="00DD74EE">
        <w:rPr>
          <w:rFonts w:ascii="Times New Roman" w:hAnsi="Times New Roman" w:cs="Times New Roman"/>
          <w:color w:val="000000" w:themeColor="text1"/>
        </w:rPr>
        <w:t xml:space="preserve"> </w:t>
      </w:r>
      <w:r w:rsidRPr="00D262BA">
        <w:rPr>
          <w:rFonts w:ascii="Times New Roman" w:hAnsi="Times New Roman" w:cs="Times New Roman"/>
          <w:color w:val="000000" w:themeColor="text1"/>
        </w:rPr>
        <w:t>Internal Consistency</w:t>
      </w:r>
    </w:p>
    <w:p w14:paraId="4EE08285" w14:textId="77777777" w:rsidR="00DD74EE" w:rsidRDefault="00DD74EE" w:rsidP="00DD74EE">
      <w:pPr>
        <w:spacing w:before="40" w:after="40"/>
        <w:rPr>
          <w:rFonts w:ascii="Times New Roman" w:hAnsi="Times New Roman" w:cs="Times New Roman"/>
          <w:color w:val="000000" w:themeColor="text1"/>
        </w:rPr>
      </w:pPr>
      <w:r w:rsidRPr="00DD74EE">
        <w:rPr>
          <w:rFonts w:ascii="Times New Roman" w:hAnsi="Times New Roman" w:cs="Times New Roman"/>
          <w:color w:val="000000" w:themeColor="text1"/>
        </w:rPr>
        <w:t>The Tracing-Based Anatomy Learning Evaluation Scale (TALES) was developed as a theory-informed exploratory measure of students’ learning experiences. Participants rated TBDM and TMBM separately using the same eight items. The full item wording and response scale are presented in Table 1 of the main manuscript.</w:t>
      </w:r>
    </w:p>
    <w:p w14:paraId="54E75DE4" w14:textId="44B10D6D" w:rsidR="00DD74EE" w:rsidRPr="00DD74EE" w:rsidRDefault="00DD74EE" w:rsidP="00DD74EE">
      <w:pPr>
        <w:spacing w:before="40" w:after="40"/>
        <w:rPr>
          <w:rFonts w:ascii="Times New Roman" w:hAnsi="Times New Roman" w:cs="Times New Roman"/>
          <w:color w:val="000000" w:themeColor="text1"/>
        </w:rPr>
      </w:pPr>
      <w:r w:rsidRPr="00DD74EE">
        <w:rPr>
          <w:rFonts w:ascii="Times New Roman" w:hAnsi="Times New Roman" w:cs="Times New Roman"/>
          <w:color w:val="000000" w:themeColor="text1"/>
        </w:rPr>
        <w:t>Cronbach’s alpha was calculated for the pooled method ratings and for the ratings of each teaching method separately.</w:t>
      </w:r>
    </w:p>
    <w:tbl>
      <w:tblPr>
        <w:tblStyle w:val="aff1"/>
        <w:tblpPr w:leftFromText="180" w:rightFromText="180" w:vertAnchor="text" w:horzAnchor="margin" w:tblpY="7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9"/>
        <w:gridCol w:w="1756"/>
        <w:gridCol w:w="1277"/>
        <w:gridCol w:w="2074"/>
      </w:tblGrid>
      <w:tr w:rsidR="00DD74EE" w:rsidRPr="00D262BA" w14:paraId="22BABC81" w14:textId="77777777" w:rsidTr="00DD74EE">
        <w:tc>
          <w:tcPr>
            <w:tcW w:w="2333" w:type="pct"/>
            <w:tcBorders>
              <w:top w:val="single" w:sz="8" w:space="0" w:color="000000"/>
              <w:bottom w:val="single" w:sz="4" w:space="0" w:color="000000"/>
            </w:tcBorders>
            <w:shd w:val="clear" w:color="auto" w:fill="F2F4F7"/>
            <w:vAlign w:val="center"/>
          </w:tcPr>
          <w:p w14:paraId="09F7DEED" w14:textId="3F1B0A26" w:rsidR="00DD74EE" w:rsidRPr="00DD74EE" w:rsidRDefault="00DD74EE" w:rsidP="00DD74EE">
            <w:pPr>
              <w:jc w:val="center"/>
              <w:rPr>
                <w:rFonts w:ascii="Times New Roman" w:hAnsi="Times New Roman" w:cs="Times New Roman"/>
                <w:b/>
                <w:bCs/>
                <w:color w:val="000000" w:themeColor="text1"/>
              </w:rPr>
            </w:pPr>
            <w:r w:rsidRPr="00DD74EE">
              <w:rPr>
                <w:rFonts w:ascii="Times New Roman" w:hAnsi="Times New Roman" w:cs="Times New Roman"/>
                <w:b/>
                <w:bCs/>
                <w:color w:val="000000" w:themeColor="text1"/>
              </w:rPr>
              <w:t>Rating set</w:t>
            </w:r>
          </w:p>
        </w:tc>
        <w:tc>
          <w:tcPr>
            <w:tcW w:w="917" w:type="pct"/>
            <w:tcBorders>
              <w:top w:val="single" w:sz="8" w:space="0" w:color="000000"/>
              <w:bottom w:val="single" w:sz="4" w:space="0" w:color="000000"/>
            </w:tcBorders>
            <w:shd w:val="clear" w:color="auto" w:fill="F2F4F7"/>
            <w:vAlign w:val="center"/>
          </w:tcPr>
          <w:p w14:paraId="052FD39D" w14:textId="144574A9" w:rsidR="00DD74EE" w:rsidRPr="00DD74EE" w:rsidRDefault="00DD74EE" w:rsidP="00DD74EE">
            <w:pPr>
              <w:jc w:val="center"/>
              <w:rPr>
                <w:rFonts w:ascii="Times New Roman" w:hAnsi="Times New Roman" w:cs="Times New Roman"/>
                <w:b/>
                <w:bCs/>
                <w:color w:val="000000" w:themeColor="text1"/>
              </w:rPr>
            </w:pPr>
            <w:r w:rsidRPr="00DD74EE">
              <w:rPr>
                <w:rFonts w:ascii="Times New Roman" w:hAnsi="Times New Roman" w:cs="Times New Roman"/>
                <w:b/>
                <w:bCs/>
                <w:color w:val="000000" w:themeColor="text1"/>
              </w:rPr>
              <w:t>Number of rating sets</w:t>
            </w:r>
          </w:p>
        </w:tc>
        <w:tc>
          <w:tcPr>
            <w:tcW w:w="667" w:type="pct"/>
            <w:tcBorders>
              <w:top w:val="single" w:sz="8" w:space="0" w:color="000000"/>
              <w:bottom w:val="single" w:sz="4" w:space="0" w:color="000000"/>
            </w:tcBorders>
            <w:shd w:val="clear" w:color="auto" w:fill="F2F4F7"/>
            <w:vAlign w:val="center"/>
          </w:tcPr>
          <w:p w14:paraId="16D5D347" w14:textId="77777777" w:rsidR="00DD74EE" w:rsidRPr="00DD74EE" w:rsidRDefault="00DD74EE" w:rsidP="00DD74EE">
            <w:pPr>
              <w:jc w:val="center"/>
              <w:rPr>
                <w:rFonts w:ascii="Times New Roman" w:hAnsi="Times New Roman" w:cs="Times New Roman"/>
                <w:b/>
                <w:bCs/>
                <w:color w:val="000000" w:themeColor="text1"/>
              </w:rPr>
            </w:pPr>
            <w:r w:rsidRPr="00DD74EE">
              <w:rPr>
                <w:rFonts w:ascii="Times New Roman" w:hAnsi="Times New Roman" w:cs="Times New Roman"/>
                <w:b/>
                <w:bCs/>
                <w:color w:val="000000" w:themeColor="text1"/>
              </w:rPr>
              <w:t>Items</w:t>
            </w:r>
          </w:p>
        </w:tc>
        <w:tc>
          <w:tcPr>
            <w:tcW w:w="1083" w:type="pct"/>
            <w:tcBorders>
              <w:top w:val="single" w:sz="8" w:space="0" w:color="000000"/>
              <w:bottom w:val="single" w:sz="4" w:space="0" w:color="000000"/>
            </w:tcBorders>
            <w:shd w:val="clear" w:color="auto" w:fill="F2F4F7"/>
            <w:vAlign w:val="center"/>
          </w:tcPr>
          <w:p w14:paraId="241708D6" w14:textId="77777777" w:rsidR="00DD74EE" w:rsidRPr="00DD74EE" w:rsidRDefault="00DD74EE" w:rsidP="00DD74EE">
            <w:pPr>
              <w:jc w:val="center"/>
              <w:rPr>
                <w:rFonts w:ascii="Times New Roman" w:hAnsi="Times New Roman" w:cs="Times New Roman"/>
                <w:b/>
                <w:bCs/>
                <w:color w:val="000000" w:themeColor="text1"/>
              </w:rPr>
            </w:pPr>
            <w:r w:rsidRPr="00DD74EE">
              <w:rPr>
                <w:rFonts w:ascii="Times New Roman" w:hAnsi="Times New Roman" w:cs="Times New Roman"/>
                <w:b/>
                <w:bCs/>
                <w:color w:val="000000" w:themeColor="text1"/>
              </w:rPr>
              <w:t>Cronbach's alpha</w:t>
            </w:r>
          </w:p>
        </w:tc>
      </w:tr>
      <w:tr w:rsidR="00DD74EE" w:rsidRPr="00D262BA" w14:paraId="2F372CA8" w14:textId="77777777" w:rsidTr="00DD74EE">
        <w:tc>
          <w:tcPr>
            <w:tcW w:w="2333" w:type="pct"/>
            <w:tcBorders>
              <w:top w:val="single" w:sz="4" w:space="0" w:color="000000"/>
            </w:tcBorders>
            <w:vAlign w:val="center"/>
          </w:tcPr>
          <w:p w14:paraId="70DE74A1" w14:textId="6E94F6B3" w:rsidR="00DD74EE" w:rsidRPr="00D262BA" w:rsidRDefault="00DD74EE" w:rsidP="00DD74EE">
            <w:pPr>
              <w:rPr>
                <w:rFonts w:ascii="Times New Roman" w:hAnsi="Times New Roman" w:cs="Times New Roman"/>
                <w:color w:val="000000" w:themeColor="text1"/>
              </w:rPr>
            </w:pPr>
            <w:r w:rsidRPr="00DD74EE">
              <w:rPr>
                <w:rFonts w:ascii="Times New Roman" w:hAnsi="Times New Roman" w:cs="Times New Roman"/>
                <w:color w:val="000000" w:themeColor="text1"/>
              </w:rPr>
              <w:t>Pooled TBDM and TMBM ratings</w:t>
            </w:r>
          </w:p>
        </w:tc>
        <w:tc>
          <w:tcPr>
            <w:tcW w:w="917" w:type="pct"/>
            <w:tcBorders>
              <w:top w:val="single" w:sz="4" w:space="0" w:color="000000"/>
            </w:tcBorders>
            <w:vAlign w:val="center"/>
          </w:tcPr>
          <w:p w14:paraId="212D478A" w14:textId="77777777" w:rsidR="00DD74EE" w:rsidRPr="00D262BA" w:rsidRDefault="00DD74EE"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120</w:t>
            </w:r>
          </w:p>
        </w:tc>
        <w:tc>
          <w:tcPr>
            <w:tcW w:w="667" w:type="pct"/>
            <w:tcBorders>
              <w:top w:val="single" w:sz="4" w:space="0" w:color="000000"/>
            </w:tcBorders>
            <w:vAlign w:val="center"/>
          </w:tcPr>
          <w:p w14:paraId="611E4722" w14:textId="77777777" w:rsidR="00DD74EE" w:rsidRPr="00D262BA" w:rsidRDefault="00DD74EE"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8</w:t>
            </w:r>
          </w:p>
        </w:tc>
        <w:tc>
          <w:tcPr>
            <w:tcW w:w="1083" w:type="pct"/>
            <w:tcBorders>
              <w:top w:val="single" w:sz="4" w:space="0" w:color="000000"/>
            </w:tcBorders>
            <w:vAlign w:val="center"/>
          </w:tcPr>
          <w:p w14:paraId="619BC090" w14:textId="77777777" w:rsidR="00DD74EE" w:rsidRPr="00D262BA" w:rsidRDefault="00DD74EE"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0.968</w:t>
            </w:r>
          </w:p>
        </w:tc>
      </w:tr>
      <w:tr w:rsidR="00DD74EE" w:rsidRPr="00D262BA" w14:paraId="252182E0" w14:textId="77777777" w:rsidTr="00DD74EE">
        <w:tc>
          <w:tcPr>
            <w:tcW w:w="2333" w:type="pct"/>
            <w:vAlign w:val="center"/>
          </w:tcPr>
          <w:p w14:paraId="72B8E26C" w14:textId="5530A2C0" w:rsidR="00DD74EE" w:rsidRPr="00D262BA" w:rsidRDefault="00DD74EE" w:rsidP="00DD74EE">
            <w:pPr>
              <w:rPr>
                <w:rFonts w:ascii="Times New Roman" w:hAnsi="Times New Roman" w:cs="Times New Roman"/>
                <w:color w:val="000000" w:themeColor="text1"/>
              </w:rPr>
            </w:pPr>
            <w:r w:rsidRPr="00DD74EE">
              <w:rPr>
                <w:rFonts w:ascii="Times New Roman" w:hAnsi="Times New Roman" w:cs="Times New Roman"/>
                <w:color w:val="000000" w:themeColor="text1"/>
              </w:rPr>
              <w:lastRenderedPageBreak/>
              <w:t>TBDM ratings</w:t>
            </w:r>
          </w:p>
        </w:tc>
        <w:tc>
          <w:tcPr>
            <w:tcW w:w="917" w:type="pct"/>
            <w:vAlign w:val="center"/>
          </w:tcPr>
          <w:p w14:paraId="39D34EAF" w14:textId="77777777" w:rsidR="00DD74EE" w:rsidRPr="00D262BA" w:rsidRDefault="00DD74EE"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60</w:t>
            </w:r>
          </w:p>
        </w:tc>
        <w:tc>
          <w:tcPr>
            <w:tcW w:w="667" w:type="pct"/>
            <w:vAlign w:val="center"/>
          </w:tcPr>
          <w:p w14:paraId="7A7E5661" w14:textId="77777777" w:rsidR="00DD74EE" w:rsidRPr="00D262BA" w:rsidRDefault="00DD74EE"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8</w:t>
            </w:r>
          </w:p>
        </w:tc>
        <w:tc>
          <w:tcPr>
            <w:tcW w:w="1083" w:type="pct"/>
            <w:vAlign w:val="center"/>
          </w:tcPr>
          <w:p w14:paraId="5BC4BA07" w14:textId="77777777" w:rsidR="00DD74EE" w:rsidRPr="00D262BA" w:rsidRDefault="00DD74EE"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0.958</w:t>
            </w:r>
          </w:p>
        </w:tc>
      </w:tr>
      <w:tr w:rsidR="00DD74EE" w:rsidRPr="00D262BA" w14:paraId="1E48F6A3" w14:textId="77777777" w:rsidTr="00DD74EE">
        <w:tc>
          <w:tcPr>
            <w:tcW w:w="2333" w:type="pct"/>
            <w:tcBorders>
              <w:bottom w:val="single" w:sz="8" w:space="0" w:color="000000"/>
            </w:tcBorders>
            <w:vAlign w:val="center"/>
          </w:tcPr>
          <w:p w14:paraId="11A6872C" w14:textId="4618AEBB" w:rsidR="00DD74EE" w:rsidRPr="00D262BA" w:rsidRDefault="00DD74EE" w:rsidP="00DD74EE">
            <w:pPr>
              <w:rPr>
                <w:rFonts w:ascii="Times New Roman" w:hAnsi="Times New Roman" w:cs="Times New Roman"/>
                <w:color w:val="000000" w:themeColor="text1"/>
              </w:rPr>
            </w:pPr>
            <w:r w:rsidRPr="00DD74EE">
              <w:rPr>
                <w:rFonts w:ascii="Times New Roman" w:hAnsi="Times New Roman" w:cs="Times New Roman"/>
                <w:color w:val="000000" w:themeColor="text1"/>
              </w:rPr>
              <w:t>TMBM ratings</w:t>
            </w:r>
          </w:p>
        </w:tc>
        <w:tc>
          <w:tcPr>
            <w:tcW w:w="917" w:type="pct"/>
            <w:tcBorders>
              <w:bottom w:val="single" w:sz="8" w:space="0" w:color="000000"/>
            </w:tcBorders>
            <w:vAlign w:val="center"/>
          </w:tcPr>
          <w:p w14:paraId="3C9C5483" w14:textId="77777777" w:rsidR="00DD74EE" w:rsidRPr="00D262BA" w:rsidRDefault="00DD74EE"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60</w:t>
            </w:r>
          </w:p>
        </w:tc>
        <w:tc>
          <w:tcPr>
            <w:tcW w:w="667" w:type="pct"/>
            <w:tcBorders>
              <w:bottom w:val="single" w:sz="8" w:space="0" w:color="000000"/>
            </w:tcBorders>
            <w:vAlign w:val="center"/>
          </w:tcPr>
          <w:p w14:paraId="546301E7" w14:textId="77777777" w:rsidR="00DD74EE" w:rsidRPr="00D262BA" w:rsidRDefault="00DD74EE"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8</w:t>
            </w:r>
          </w:p>
        </w:tc>
        <w:tc>
          <w:tcPr>
            <w:tcW w:w="1083" w:type="pct"/>
            <w:tcBorders>
              <w:bottom w:val="single" w:sz="8" w:space="0" w:color="000000"/>
            </w:tcBorders>
            <w:vAlign w:val="center"/>
          </w:tcPr>
          <w:p w14:paraId="754CCC5D" w14:textId="77777777" w:rsidR="00DD74EE" w:rsidRPr="00D262BA" w:rsidRDefault="00DD74EE"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0.964</w:t>
            </w:r>
          </w:p>
        </w:tc>
      </w:tr>
    </w:tbl>
    <w:p w14:paraId="2EAF9502" w14:textId="77777777" w:rsidR="00DD74EE" w:rsidRDefault="00DD74EE" w:rsidP="00DD74EE">
      <w:pPr>
        <w:rPr>
          <w:rFonts w:ascii="Times New Roman" w:hAnsi="Times New Roman" w:cs="Times New Roman"/>
          <w:color w:val="000000" w:themeColor="text1"/>
        </w:rPr>
      </w:pPr>
    </w:p>
    <w:p w14:paraId="423CECA1" w14:textId="05F6679B" w:rsidR="000858EC" w:rsidRPr="00D262BA" w:rsidRDefault="00DD74EE">
      <w:pPr>
        <w:rPr>
          <w:rFonts w:ascii="Times New Roman" w:hAnsi="Times New Roman" w:cs="Times New Roman"/>
          <w:color w:val="000000" w:themeColor="text1"/>
        </w:rPr>
      </w:pPr>
      <w:r w:rsidRPr="00DD74EE">
        <w:rPr>
          <w:rFonts w:ascii="Times New Roman" w:hAnsi="Times New Roman" w:cs="Times New Roman"/>
          <w:color w:val="000000" w:themeColor="text1"/>
        </w:rPr>
        <w:t>Corrected item–total correlations were calculated using the pooled method ratings.</w:t>
      </w:r>
      <w:r w:rsidR="00000000" w:rsidRPr="00D262BA">
        <w:rPr>
          <w:rFonts w:ascii="Times New Roman" w:hAnsi="Times New Roman" w:cs="Times New Roman"/>
          <w:color w:val="000000" w:themeColor="text1"/>
        </w:rPr>
        <w:t xml:space="preserve"> </w:t>
      </w:r>
    </w:p>
    <w:tbl>
      <w:tblPr>
        <w:tblStyle w:val="aff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4"/>
        <w:gridCol w:w="3482"/>
      </w:tblGrid>
      <w:tr w:rsidR="000858EC" w:rsidRPr="00D262BA" w14:paraId="7C7FD4D0" w14:textId="77777777" w:rsidTr="00DD74EE">
        <w:trPr>
          <w:jc w:val="center"/>
        </w:trPr>
        <w:tc>
          <w:tcPr>
            <w:tcW w:w="3182" w:type="pct"/>
            <w:tcBorders>
              <w:top w:val="single" w:sz="8" w:space="0" w:color="000000"/>
              <w:bottom w:val="single" w:sz="4" w:space="0" w:color="000000"/>
            </w:tcBorders>
            <w:shd w:val="clear" w:color="auto" w:fill="F2F4F7"/>
            <w:vAlign w:val="center"/>
          </w:tcPr>
          <w:p w14:paraId="364EA326" w14:textId="77777777" w:rsidR="000858EC" w:rsidRPr="00D262BA" w:rsidRDefault="00000000" w:rsidP="00DD74EE">
            <w:pPr>
              <w:rPr>
                <w:rFonts w:ascii="Times New Roman" w:hAnsi="Times New Roman" w:cs="Times New Roman"/>
                <w:color w:val="000000" w:themeColor="text1"/>
              </w:rPr>
            </w:pPr>
            <w:r w:rsidRPr="00D262BA">
              <w:rPr>
                <w:rFonts w:ascii="Times New Roman" w:hAnsi="Times New Roman" w:cs="Times New Roman"/>
                <w:b/>
                <w:color w:val="000000" w:themeColor="text1"/>
              </w:rPr>
              <w:t>Item</w:t>
            </w:r>
          </w:p>
        </w:tc>
        <w:tc>
          <w:tcPr>
            <w:tcW w:w="1818" w:type="pct"/>
            <w:tcBorders>
              <w:top w:val="single" w:sz="8" w:space="0" w:color="000000"/>
              <w:bottom w:val="single" w:sz="4" w:space="0" w:color="000000"/>
            </w:tcBorders>
            <w:shd w:val="clear" w:color="auto" w:fill="F2F4F7"/>
            <w:vAlign w:val="center"/>
          </w:tcPr>
          <w:p w14:paraId="01D5A74D" w14:textId="77777777" w:rsidR="000858EC" w:rsidRPr="00D262BA" w:rsidRDefault="00000000" w:rsidP="00DD74EE">
            <w:pPr>
              <w:rPr>
                <w:rFonts w:ascii="Times New Roman" w:hAnsi="Times New Roman" w:cs="Times New Roman"/>
                <w:color w:val="000000" w:themeColor="text1"/>
              </w:rPr>
            </w:pPr>
            <w:r w:rsidRPr="00D262BA">
              <w:rPr>
                <w:rFonts w:ascii="Times New Roman" w:hAnsi="Times New Roman" w:cs="Times New Roman"/>
                <w:b/>
                <w:color w:val="000000" w:themeColor="text1"/>
              </w:rPr>
              <w:t>Corrected item-total correlation</w:t>
            </w:r>
          </w:p>
        </w:tc>
      </w:tr>
      <w:tr w:rsidR="00BF5684" w:rsidRPr="00D262BA" w14:paraId="50652126" w14:textId="77777777" w:rsidTr="00DD74EE">
        <w:trPr>
          <w:jc w:val="center"/>
        </w:trPr>
        <w:tc>
          <w:tcPr>
            <w:tcW w:w="3182" w:type="pct"/>
            <w:tcBorders>
              <w:top w:val="single" w:sz="4" w:space="0" w:color="000000"/>
            </w:tcBorders>
            <w:vAlign w:val="center"/>
          </w:tcPr>
          <w:p w14:paraId="4F143756" w14:textId="380B2C88"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Learning interest</w:t>
            </w:r>
          </w:p>
        </w:tc>
        <w:tc>
          <w:tcPr>
            <w:tcW w:w="1818" w:type="pct"/>
            <w:tcBorders>
              <w:top w:val="single" w:sz="4" w:space="0" w:color="000000"/>
            </w:tcBorders>
            <w:vAlign w:val="center"/>
          </w:tcPr>
          <w:p w14:paraId="559BADBD" w14:textId="77777777"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0.889</w:t>
            </w:r>
          </w:p>
        </w:tc>
      </w:tr>
      <w:tr w:rsidR="00BF5684" w:rsidRPr="00D262BA" w14:paraId="1DF1F1EC" w14:textId="77777777" w:rsidTr="00DD74EE">
        <w:trPr>
          <w:jc w:val="center"/>
        </w:trPr>
        <w:tc>
          <w:tcPr>
            <w:tcW w:w="3182" w:type="pct"/>
            <w:vAlign w:val="center"/>
          </w:tcPr>
          <w:p w14:paraId="52B58173" w14:textId="145841E3"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Structural understanding</w:t>
            </w:r>
          </w:p>
        </w:tc>
        <w:tc>
          <w:tcPr>
            <w:tcW w:w="1818" w:type="pct"/>
            <w:vAlign w:val="center"/>
          </w:tcPr>
          <w:p w14:paraId="18340008" w14:textId="77777777"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0.827</w:t>
            </w:r>
          </w:p>
        </w:tc>
      </w:tr>
      <w:tr w:rsidR="00BF5684" w:rsidRPr="00D262BA" w14:paraId="5E918ABD" w14:textId="77777777" w:rsidTr="00DD74EE">
        <w:trPr>
          <w:jc w:val="center"/>
        </w:trPr>
        <w:tc>
          <w:tcPr>
            <w:tcW w:w="3182" w:type="pct"/>
            <w:vAlign w:val="center"/>
          </w:tcPr>
          <w:p w14:paraId="65DABB5B" w14:textId="53D06D65"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Memory clarity</w:t>
            </w:r>
          </w:p>
        </w:tc>
        <w:tc>
          <w:tcPr>
            <w:tcW w:w="1818" w:type="pct"/>
            <w:vAlign w:val="center"/>
          </w:tcPr>
          <w:p w14:paraId="13527CFC" w14:textId="77777777"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0.912</w:t>
            </w:r>
          </w:p>
        </w:tc>
      </w:tr>
      <w:tr w:rsidR="00BF5684" w:rsidRPr="00D262BA" w14:paraId="7707BF99" w14:textId="77777777" w:rsidTr="00DD74EE">
        <w:trPr>
          <w:jc w:val="center"/>
        </w:trPr>
        <w:tc>
          <w:tcPr>
            <w:tcW w:w="3182" w:type="pct"/>
            <w:vAlign w:val="center"/>
          </w:tcPr>
          <w:p w14:paraId="10846189" w14:textId="7BDB9F15"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Confidence in expression</w:t>
            </w:r>
          </w:p>
        </w:tc>
        <w:tc>
          <w:tcPr>
            <w:tcW w:w="1818" w:type="pct"/>
            <w:vAlign w:val="center"/>
          </w:tcPr>
          <w:p w14:paraId="419E7553" w14:textId="77777777"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0.884</w:t>
            </w:r>
          </w:p>
        </w:tc>
      </w:tr>
      <w:tr w:rsidR="00BF5684" w:rsidRPr="00D262BA" w14:paraId="01F503D2" w14:textId="77777777" w:rsidTr="00DD74EE">
        <w:trPr>
          <w:jc w:val="center"/>
        </w:trPr>
        <w:tc>
          <w:tcPr>
            <w:tcW w:w="3182" w:type="pct"/>
            <w:vAlign w:val="center"/>
          </w:tcPr>
          <w:p w14:paraId="7F4E5799" w14:textId="4E95C120"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Perceived clinical utility</w:t>
            </w:r>
          </w:p>
        </w:tc>
        <w:tc>
          <w:tcPr>
            <w:tcW w:w="1818" w:type="pct"/>
            <w:vAlign w:val="center"/>
          </w:tcPr>
          <w:p w14:paraId="7B8394EB" w14:textId="77777777"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0.879</w:t>
            </w:r>
          </w:p>
        </w:tc>
      </w:tr>
      <w:tr w:rsidR="00BF5684" w:rsidRPr="00D262BA" w14:paraId="5BBAF4AB" w14:textId="77777777" w:rsidTr="00DD74EE">
        <w:trPr>
          <w:jc w:val="center"/>
        </w:trPr>
        <w:tc>
          <w:tcPr>
            <w:tcW w:w="3182" w:type="pct"/>
            <w:vAlign w:val="center"/>
          </w:tcPr>
          <w:p w14:paraId="2FA039ED" w14:textId="334DF8C3"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Sense of achievement</w:t>
            </w:r>
          </w:p>
        </w:tc>
        <w:tc>
          <w:tcPr>
            <w:tcW w:w="1818" w:type="pct"/>
            <w:vAlign w:val="center"/>
          </w:tcPr>
          <w:p w14:paraId="30DAFA24" w14:textId="77777777"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0.880</w:t>
            </w:r>
          </w:p>
        </w:tc>
      </w:tr>
      <w:tr w:rsidR="00BF5684" w:rsidRPr="00D262BA" w14:paraId="605B0BBF" w14:textId="77777777" w:rsidTr="00DD74EE">
        <w:trPr>
          <w:jc w:val="center"/>
        </w:trPr>
        <w:tc>
          <w:tcPr>
            <w:tcW w:w="3182" w:type="pct"/>
            <w:vAlign w:val="center"/>
          </w:tcPr>
          <w:p w14:paraId="2E4929CD" w14:textId="6C6240DE"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Overall satisfaction</w:t>
            </w:r>
          </w:p>
        </w:tc>
        <w:tc>
          <w:tcPr>
            <w:tcW w:w="1818" w:type="pct"/>
            <w:vAlign w:val="center"/>
          </w:tcPr>
          <w:p w14:paraId="47D5639B" w14:textId="77777777"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0.850</w:t>
            </w:r>
          </w:p>
        </w:tc>
      </w:tr>
      <w:tr w:rsidR="00BF5684" w:rsidRPr="00D262BA" w14:paraId="6B5EA4F6" w14:textId="77777777" w:rsidTr="00DD74EE">
        <w:trPr>
          <w:jc w:val="center"/>
        </w:trPr>
        <w:tc>
          <w:tcPr>
            <w:tcW w:w="3182" w:type="pct"/>
            <w:tcBorders>
              <w:bottom w:val="single" w:sz="8" w:space="0" w:color="000000"/>
            </w:tcBorders>
            <w:vAlign w:val="center"/>
          </w:tcPr>
          <w:p w14:paraId="1FDE8172" w14:textId="3F0612B1"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Intention for continued use</w:t>
            </w:r>
          </w:p>
        </w:tc>
        <w:tc>
          <w:tcPr>
            <w:tcW w:w="1818" w:type="pct"/>
            <w:tcBorders>
              <w:bottom w:val="single" w:sz="8" w:space="0" w:color="000000"/>
            </w:tcBorders>
            <w:vAlign w:val="center"/>
          </w:tcPr>
          <w:p w14:paraId="3618AAD6" w14:textId="77777777" w:rsidR="00BF5684" w:rsidRPr="00D262BA" w:rsidRDefault="00BF5684" w:rsidP="00DD74EE">
            <w:pPr>
              <w:rPr>
                <w:rFonts w:ascii="Times New Roman" w:hAnsi="Times New Roman" w:cs="Times New Roman"/>
                <w:color w:val="000000" w:themeColor="text1"/>
              </w:rPr>
            </w:pPr>
            <w:r w:rsidRPr="00D262BA">
              <w:rPr>
                <w:rFonts w:ascii="Times New Roman" w:hAnsi="Times New Roman" w:cs="Times New Roman"/>
                <w:color w:val="000000" w:themeColor="text1"/>
              </w:rPr>
              <w:t>0.859</w:t>
            </w:r>
          </w:p>
        </w:tc>
      </w:tr>
    </w:tbl>
    <w:bookmarkEnd w:id="1"/>
    <w:p w14:paraId="6ADB4682" w14:textId="50FA36E9" w:rsidR="000858EC" w:rsidRPr="00D262BA" w:rsidRDefault="00DD74EE" w:rsidP="00DD74EE">
      <w:pPr>
        <w:rPr>
          <w:rFonts w:ascii="Times New Roman" w:hAnsi="Times New Roman" w:cs="Times New Roman"/>
          <w:color w:val="000000" w:themeColor="text1"/>
        </w:rPr>
      </w:pPr>
      <w:r w:rsidRPr="00DD74EE">
        <w:rPr>
          <w:rFonts w:ascii="Times New Roman" w:hAnsi="Times New Roman" w:cs="Times New Roman"/>
          <w:color w:val="000000" w:themeColor="text1"/>
        </w:rPr>
        <w:t>The present analyses focused on the internal consistency of TALES.</w:t>
      </w:r>
    </w:p>
    <w:sectPr w:rsidR="000858EC" w:rsidRPr="00D262BA" w:rsidSect="00034616">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63AAFF" w14:textId="77777777" w:rsidR="001716B8" w:rsidRDefault="001716B8" w:rsidP="001A33DE">
      <w:pPr>
        <w:spacing w:after="0" w:line="240" w:lineRule="auto"/>
      </w:pPr>
      <w:r>
        <w:separator/>
      </w:r>
    </w:p>
  </w:endnote>
  <w:endnote w:type="continuationSeparator" w:id="0">
    <w:p w14:paraId="3BBA44E6" w14:textId="77777777" w:rsidR="001716B8" w:rsidRDefault="001716B8" w:rsidP="001A3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1"/>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f9"/>
      </w:rPr>
      <w:id w:val="1833186117"/>
      <w:docPartObj>
        <w:docPartGallery w:val="Page Numbers (Bottom of Page)"/>
        <w:docPartUnique/>
      </w:docPartObj>
    </w:sdtPr>
    <w:sdtContent>
      <w:p w14:paraId="32C3006C" w14:textId="15DC11C7" w:rsidR="002B5B32" w:rsidRDefault="002B5B32" w:rsidP="0028128D">
        <w:pPr>
          <w:pStyle w:val="a7"/>
          <w:framePr w:wrap="none" w:vAnchor="text" w:hAnchor="margin" w:xAlign="center" w:y="1"/>
          <w:rPr>
            <w:rStyle w:val="aff9"/>
          </w:rPr>
        </w:pPr>
        <w:r>
          <w:rPr>
            <w:rStyle w:val="aff9"/>
          </w:rPr>
          <w:fldChar w:fldCharType="begin"/>
        </w:r>
        <w:r>
          <w:rPr>
            <w:rStyle w:val="aff9"/>
          </w:rPr>
          <w:instrText xml:space="preserve"> PAGE </w:instrText>
        </w:r>
        <w:r>
          <w:rPr>
            <w:rStyle w:val="aff9"/>
          </w:rPr>
          <w:fldChar w:fldCharType="separate"/>
        </w:r>
        <w:r>
          <w:rPr>
            <w:rStyle w:val="aff9"/>
          </w:rPr>
          <w:fldChar w:fldCharType="end"/>
        </w:r>
      </w:p>
    </w:sdtContent>
  </w:sdt>
  <w:p w14:paraId="143CCC29" w14:textId="77777777" w:rsidR="001A33DE" w:rsidRDefault="001A33D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f9"/>
      </w:rPr>
      <w:id w:val="-1120224415"/>
      <w:docPartObj>
        <w:docPartGallery w:val="Page Numbers (Bottom of Page)"/>
        <w:docPartUnique/>
      </w:docPartObj>
    </w:sdtPr>
    <w:sdtContent>
      <w:p w14:paraId="15AE78D5" w14:textId="6A3223CB" w:rsidR="002B5B32" w:rsidRDefault="002B5B32" w:rsidP="0028128D">
        <w:pPr>
          <w:pStyle w:val="a7"/>
          <w:framePr w:wrap="none" w:vAnchor="text" w:hAnchor="margin" w:xAlign="center" w:y="1"/>
          <w:rPr>
            <w:rStyle w:val="aff9"/>
          </w:rPr>
        </w:pPr>
        <w:r>
          <w:rPr>
            <w:rStyle w:val="aff9"/>
          </w:rPr>
          <w:fldChar w:fldCharType="begin"/>
        </w:r>
        <w:r>
          <w:rPr>
            <w:rStyle w:val="aff9"/>
          </w:rPr>
          <w:instrText xml:space="preserve"> PAGE </w:instrText>
        </w:r>
        <w:r>
          <w:rPr>
            <w:rStyle w:val="aff9"/>
          </w:rPr>
          <w:fldChar w:fldCharType="separate"/>
        </w:r>
        <w:r>
          <w:rPr>
            <w:rStyle w:val="aff9"/>
            <w:noProof/>
          </w:rPr>
          <w:t>1</w:t>
        </w:r>
        <w:r>
          <w:rPr>
            <w:rStyle w:val="aff9"/>
          </w:rPr>
          <w:fldChar w:fldCharType="end"/>
        </w:r>
      </w:p>
    </w:sdtContent>
  </w:sdt>
  <w:p w14:paraId="3B4F84A9" w14:textId="77777777" w:rsidR="001A33DE" w:rsidRDefault="001A33D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62DDC6" w14:textId="77777777" w:rsidR="001716B8" w:rsidRDefault="001716B8" w:rsidP="001A33DE">
      <w:pPr>
        <w:spacing w:after="0" w:line="240" w:lineRule="auto"/>
      </w:pPr>
      <w:r>
        <w:separator/>
      </w:r>
    </w:p>
  </w:footnote>
  <w:footnote w:type="continuationSeparator" w:id="0">
    <w:p w14:paraId="211D9902" w14:textId="77777777" w:rsidR="001716B8" w:rsidRDefault="001716B8" w:rsidP="001A33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31897006">
    <w:abstractNumId w:val="8"/>
  </w:num>
  <w:num w:numId="2" w16cid:durableId="1300110801">
    <w:abstractNumId w:val="6"/>
  </w:num>
  <w:num w:numId="3" w16cid:durableId="649210580">
    <w:abstractNumId w:val="5"/>
  </w:num>
  <w:num w:numId="4" w16cid:durableId="603422238">
    <w:abstractNumId w:val="4"/>
  </w:num>
  <w:num w:numId="5" w16cid:durableId="1736513497">
    <w:abstractNumId w:val="7"/>
  </w:num>
  <w:num w:numId="6" w16cid:durableId="1503087088">
    <w:abstractNumId w:val="3"/>
  </w:num>
  <w:num w:numId="7" w16cid:durableId="1047948357">
    <w:abstractNumId w:val="2"/>
  </w:num>
  <w:num w:numId="8" w16cid:durableId="1365325856">
    <w:abstractNumId w:val="1"/>
  </w:num>
  <w:num w:numId="9" w16cid:durableId="19685827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oNotDisplayPageBoundarie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58EC"/>
    <w:rsid w:val="000A6B1C"/>
    <w:rsid w:val="0015074B"/>
    <w:rsid w:val="001716B8"/>
    <w:rsid w:val="001A33DE"/>
    <w:rsid w:val="001C21D1"/>
    <w:rsid w:val="001D585C"/>
    <w:rsid w:val="0028476F"/>
    <w:rsid w:val="0029639D"/>
    <w:rsid w:val="002B5B32"/>
    <w:rsid w:val="00326F90"/>
    <w:rsid w:val="00426660"/>
    <w:rsid w:val="00487628"/>
    <w:rsid w:val="004C7ACA"/>
    <w:rsid w:val="00500E2F"/>
    <w:rsid w:val="005E0131"/>
    <w:rsid w:val="00600AE1"/>
    <w:rsid w:val="00605493"/>
    <w:rsid w:val="006A081E"/>
    <w:rsid w:val="007D1441"/>
    <w:rsid w:val="0083045A"/>
    <w:rsid w:val="00A424CF"/>
    <w:rsid w:val="00AA1D8D"/>
    <w:rsid w:val="00B47730"/>
    <w:rsid w:val="00B91A00"/>
    <w:rsid w:val="00BF5684"/>
    <w:rsid w:val="00C00C71"/>
    <w:rsid w:val="00CB0664"/>
    <w:rsid w:val="00D262BA"/>
    <w:rsid w:val="00D92A9D"/>
    <w:rsid w:val="00DD74EE"/>
    <w:rsid w:val="00F6417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D57146"/>
  <w14:defaultImageDpi w14:val="300"/>
  <w15:docId w15:val="{C50E87C8-B027-634A-B86B-B5D896AA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Calibri" w:hAnsi="Calibri"/>
    </w:rPr>
  </w:style>
  <w:style w:type="paragraph" w:styleId="1">
    <w:name w:val="heading 1"/>
    <w:basedOn w:val="a1"/>
    <w:next w:val="a1"/>
    <w:link w:val="10"/>
    <w:uiPriority w:val="9"/>
    <w:qFormat/>
    <w:rsid w:val="00FC693F"/>
    <w:pPr>
      <w:keepNext/>
      <w:keepLines/>
      <w:spacing w:before="200" w:after="100"/>
      <w:outlineLvl w:val="0"/>
    </w:pPr>
    <w:rPr>
      <w:rFonts w:asciiTheme="majorHAnsi" w:eastAsiaTheme="majorEastAsia" w:hAnsiTheme="majorHAnsi" w:cstheme="majorBidi"/>
      <w:b/>
      <w:bCs/>
      <w:color w:val="2E74B5"/>
      <w:sz w:val="32"/>
      <w:szCs w:val="28"/>
    </w:rPr>
  </w:style>
  <w:style w:type="paragraph" w:styleId="21">
    <w:name w:val="heading 2"/>
    <w:basedOn w:val="a1"/>
    <w:next w:val="a1"/>
    <w:link w:val="22"/>
    <w:uiPriority w:val="9"/>
    <w:unhideWhenUsed/>
    <w:qFormat/>
    <w:rsid w:val="00FC693F"/>
    <w:pPr>
      <w:keepNext/>
      <w:keepLines/>
      <w:spacing w:before="200" w:after="100"/>
      <w:outlineLvl w:val="1"/>
    </w:pPr>
    <w:rPr>
      <w:rFonts w:asciiTheme="majorHAnsi" w:eastAsiaTheme="majorEastAsia" w:hAnsiTheme="majorHAnsi" w:cstheme="majorBidi"/>
      <w:b/>
      <w:bCs/>
      <w:color w:val="2E74B5"/>
      <w:sz w:val="26"/>
      <w:szCs w:val="26"/>
    </w:rPr>
  </w:style>
  <w:style w:type="paragraph" w:styleId="31">
    <w:name w:val="heading 3"/>
    <w:basedOn w:val="a1"/>
    <w:next w:val="a1"/>
    <w:link w:val="32"/>
    <w:uiPriority w:val="9"/>
    <w:unhideWhenUsed/>
    <w:qFormat/>
    <w:rsid w:val="00FC693F"/>
    <w:pPr>
      <w:keepNext/>
      <w:keepLines/>
      <w:spacing w:before="200" w:after="100"/>
      <w:outlineLvl w:val="2"/>
    </w:pPr>
    <w:rPr>
      <w:rFonts w:asciiTheme="majorHAnsi" w:eastAsiaTheme="majorEastAsia" w:hAnsiTheme="majorHAnsi" w:cstheme="majorBidi"/>
      <w:b/>
      <w:bCs/>
      <w:color w:val="1F4D78"/>
      <w:sz w:val="24"/>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14">
    <w:name w:val="网格型1"/>
    <w:basedOn w:val="a3"/>
    <w:next w:val="aff1"/>
    <w:uiPriority w:val="39"/>
    <w:rsid w:val="00BF5684"/>
    <w:pPr>
      <w:widowControl w:val="0"/>
      <w:spacing w:after="0" w:line="240" w:lineRule="auto"/>
      <w:jc w:val="both"/>
    </w:pPr>
    <w:rPr>
      <w:rFonts w:ascii="Times New Roman" w:eastAsia="宋体"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page number"/>
    <w:basedOn w:val="a2"/>
    <w:uiPriority w:val="99"/>
    <w:semiHidden/>
    <w:unhideWhenUsed/>
    <w:rsid w:val="001A3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278</Words>
  <Characters>2241</Characters>
  <Application>Microsoft Office Word</Application>
  <DocSecurity>0</DocSecurity>
  <Lines>101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zhuangyd19@gmail.com</cp:lastModifiedBy>
  <cp:revision>15</cp:revision>
  <dcterms:created xsi:type="dcterms:W3CDTF">2013-12-23T23:15:00Z</dcterms:created>
  <dcterms:modified xsi:type="dcterms:W3CDTF">2026-07-11T14:20:00Z</dcterms:modified>
  <cp:category/>
</cp:coreProperties>
</file>