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B9898" w14:textId="77777777" w:rsidR="00303CF7" w:rsidRPr="00677D2D" w:rsidRDefault="00000000" w:rsidP="00677D2D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X864198390ec7bd0b54b759a310f97fcf5f5f85d"/>
      <w:r w:rsidRPr="00677D2D">
        <w:rPr>
          <w:rFonts w:ascii="Times New Roman" w:hAnsi="Times New Roman" w:cs="Times New Roman"/>
          <w:b/>
          <w:bCs/>
          <w:color w:val="000000" w:themeColor="text1"/>
        </w:rPr>
        <w:t>CHERRIES Checklist (Checklist for Reporting Results of Internet E-Surveys)</w:t>
      </w:r>
    </w:p>
    <w:p w14:paraId="67C9C20D" w14:textId="77777777" w:rsidR="00303CF7" w:rsidRPr="00677D2D" w:rsidRDefault="00000000" w:rsidP="00677D2D">
      <w:pPr>
        <w:pStyle w:val="Heading3"/>
        <w:jc w:val="center"/>
        <w:rPr>
          <w:rFonts w:ascii="Times New Roman" w:hAnsi="Times New Roman" w:cs="Times New Roman"/>
          <w:color w:val="000000" w:themeColor="text1"/>
        </w:rPr>
      </w:pPr>
      <w:bookmarkStart w:id="1" w:name="X88a480e0b126d313b59415532bd10c09999b511"/>
      <w:r w:rsidRPr="00677D2D">
        <w:rPr>
          <w:rFonts w:ascii="Times New Roman" w:hAnsi="Times New Roman" w:cs="Times New Roman"/>
          <w:color w:val="000000" w:themeColor="text1"/>
        </w:rPr>
        <w:t>Eysenbach G. J Med Internet Res 2004;6(3</w:t>
      </w:r>
      <w:proofErr w:type="gramStart"/>
      <w:r w:rsidRPr="00677D2D">
        <w:rPr>
          <w:rFonts w:ascii="Times New Roman" w:hAnsi="Times New Roman" w:cs="Times New Roman"/>
          <w:color w:val="000000" w:themeColor="text1"/>
        </w:rPr>
        <w:t>):e</w:t>
      </w:r>
      <w:proofErr w:type="gramEnd"/>
      <w:r w:rsidRPr="00677D2D">
        <w:rPr>
          <w:rFonts w:ascii="Times New Roman" w:hAnsi="Times New Roman" w:cs="Times New Roman"/>
          <w:color w:val="000000" w:themeColor="text1"/>
        </w:rPr>
        <w:t>34. doi:10.2196/jmir.6.</w:t>
      </w:r>
      <w:proofErr w:type="gramStart"/>
      <w:r w:rsidRPr="00677D2D">
        <w:rPr>
          <w:rFonts w:ascii="Times New Roman" w:hAnsi="Times New Roman" w:cs="Times New Roman"/>
          <w:color w:val="000000" w:themeColor="text1"/>
        </w:rPr>
        <w:t>3.e</w:t>
      </w:r>
      <w:proofErr w:type="gramEnd"/>
      <w:r w:rsidRPr="00677D2D">
        <w:rPr>
          <w:rFonts w:ascii="Times New Roman" w:hAnsi="Times New Roman" w:cs="Times New Roman"/>
          <w:color w:val="000000" w:themeColor="text1"/>
        </w:rPr>
        <w:t>34</w:t>
      </w:r>
    </w:p>
    <w:p w14:paraId="3C0A1175" w14:textId="77777777" w:rsidR="00677D2D" w:rsidRDefault="00677D2D">
      <w:pPr>
        <w:pStyle w:val="BlockText"/>
        <w:rPr>
          <w:rFonts w:ascii="Times New Roman" w:hAnsi="Times New Roman" w:cs="Times New Roman"/>
          <w:color w:val="000000" w:themeColor="text1"/>
        </w:rPr>
      </w:pPr>
    </w:p>
    <w:p w14:paraId="42266DD3" w14:textId="4326A162" w:rsidR="00303CF7" w:rsidRDefault="00000000">
      <w:pPr>
        <w:pStyle w:val="BlockText"/>
        <w:rPr>
          <w:rFonts w:ascii="Times New Roman" w:hAnsi="Times New Roman" w:cs="Times New Roman"/>
          <w:color w:val="000000" w:themeColor="text1"/>
        </w:rPr>
      </w:pPr>
      <w:r w:rsidRPr="00677D2D">
        <w:rPr>
          <w:rFonts w:ascii="Times New Roman" w:hAnsi="Times New Roman" w:cs="Times New Roman"/>
          <w:color w:val="000000" w:themeColor="text1"/>
        </w:rPr>
        <w:t>Completed from study records and the statistical analysis plan; all items are answered. "</w:t>
      </w:r>
      <w:r w:rsidRPr="00677D2D">
        <w:rPr>
          <w:rFonts w:ascii="Apple Color Emoji" w:hAnsi="Apple Color Emoji" w:cs="Apple Color Emoji"/>
          <w:color w:val="000000" w:themeColor="text1"/>
        </w:rPr>
        <w:t>✔</w:t>
      </w:r>
      <w:r w:rsidRPr="00677D2D">
        <w:rPr>
          <w:rFonts w:ascii="Times New Roman" w:hAnsi="Times New Roman" w:cs="Times New Roman"/>
          <w:color w:val="000000" w:themeColor="text1"/>
        </w:rPr>
        <w:t xml:space="preserve"> Methods" = already described in the manuscript Methods.</w:t>
      </w:r>
    </w:p>
    <w:p w14:paraId="3632D686" w14:textId="77777777" w:rsidR="00677D2D" w:rsidRPr="00677D2D" w:rsidRDefault="00677D2D" w:rsidP="00677D2D">
      <w:pPr>
        <w:pStyle w:val="BodyText"/>
      </w:pP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655"/>
        <w:gridCol w:w="6921"/>
      </w:tblGrid>
      <w:tr w:rsidR="00303CF7" w:rsidRPr="00677D2D" w14:paraId="30F146AA" w14:textId="77777777" w:rsidTr="00303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7501037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CHERRIES item</w:t>
            </w:r>
          </w:p>
        </w:tc>
        <w:tc>
          <w:tcPr>
            <w:tcW w:w="0" w:type="auto"/>
          </w:tcPr>
          <w:p w14:paraId="358B02A5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Study response</w:t>
            </w:r>
          </w:p>
        </w:tc>
      </w:tr>
      <w:tr w:rsidR="00303CF7" w:rsidRPr="00677D2D" w14:paraId="122E3D3F" w14:textId="77777777">
        <w:tc>
          <w:tcPr>
            <w:tcW w:w="0" w:type="auto"/>
          </w:tcPr>
          <w:p w14:paraId="3330AF9D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Design</w:t>
            </w:r>
          </w:p>
        </w:tc>
        <w:tc>
          <w:tcPr>
            <w:tcW w:w="0" w:type="auto"/>
          </w:tcPr>
          <w:p w14:paraId="6DCDFB4A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Cross-sectional, self-administered web-based survey; </w:t>
            </w: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closed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(invitation-only to THD members).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Methods</w:t>
            </w:r>
          </w:p>
        </w:tc>
      </w:tr>
      <w:tr w:rsidR="00303CF7" w:rsidRPr="00677D2D" w14:paraId="0D113BFF" w14:textId="77777777">
        <w:tc>
          <w:tcPr>
            <w:tcW w:w="0" w:type="auto"/>
          </w:tcPr>
          <w:p w14:paraId="12F05B0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IRB approval</w:t>
            </w:r>
          </w:p>
        </w:tc>
        <w:tc>
          <w:tcPr>
            <w:tcW w:w="0" w:type="auto"/>
          </w:tcPr>
          <w:p w14:paraId="29DFE2EC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İstanbul Medipol University Non-Interventional Clinical Research Ethics Committee, no. E-10840098-50.04-3372, 14 May 2026.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098D7114" w14:textId="77777777">
        <w:tc>
          <w:tcPr>
            <w:tcW w:w="0" w:type="auto"/>
          </w:tcPr>
          <w:p w14:paraId="69376B5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Informed consent</w:t>
            </w:r>
          </w:p>
        </w:tc>
        <w:tc>
          <w:tcPr>
            <w:tcW w:w="0" w:type="auto"/>
          </w:tcPr>
          <w:p w14:paraId="0E1CFFC9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Mandatory consent + eligibility gate item before access; voluntary; anonymous.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12D2431F" w14:textId="77777777">
        <w:tc>
          <w:tcPr>
            <w:tcW w:w="0" w:type="auto"/>
          </w:tcPr>
          <w:p w14:paraId="1237C27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Data protection</w:t>
            </w:r>
          </w:p>
        </w:tc>
        <w:tc>
          <w:tcPr>
            <w:tcW w:w="0" w:type="auto"/>
          </w:tcPr>
          <w:p w14:paraId="002B290B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No personal identifiers (name, e-mail, or IP) were collected, and free-text fields instructed respondents to omit identifying information; responses were anonymous. The consent/introduction screen included a data-protection notice informing participants — consistent with Türkiye's Personal Data Protection Law (KVKK, Law No. 6698) — of the voluntary, anonymous nature of participation and the use of responses for scientific research. Responses were stored within the corresponding author's Google account (Forms/Sheets) and exported in de-identified form solely for analysis; because no identifying data were retained, the analyzed dataset does not constitute personal data under KVKK.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6D7497C1" w14:textId="77777777">
        <w:tc>
          <w:tcPr>
            <w:tcW w:w="0" w:type="auto"/>
          </w:tcPr>
          <w:p w14:paraId="2765B19D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Development &amp; testing</w:t>
            </w:r>
          </w:p>
        </w:tc>
        <w:tc>
          <w:tcPr>
            <w:tcW w:w="0" w:type="auto"/>
          </w:tcPr>
          <w:p w14:paraId="035BA278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Investigator-developed by the THD YZ-BAK subcommittee (items generated across 7 domains). </w:t>
            </w: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 formal pilot/pre-test or psychometric validation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was performed (reported as a limitation).</w:t>
            </w:r>
          </w:p>
        </w:tc>
      </w:tr>
      <w:tr w:rsidR="00303CF7" w:rsidRPr="00677D2D" w14:paraId="5CCD60B1" w14:textId="77777777">
        <w:tc>
          <w:tcPr>
            <w:tcW w:w="0" w:type="auto"/>
          </w:tcPr>
          <w:p w14:paraId="2CEEAFDD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Open vs closed survey</w:t>
            </w:r>
          </w:p>
        </w:tc>
        <w:tc>
          <w:tcPr>
            <w:tcW w:w="0" w:type="auto"/>
          </w:tcPr>
          <w:p w14:paraId="5BDD8893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Closed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— only THD-registered hematologists invited by verified e-mail.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55D02947" w14:textId="77777777">
        <w:tc>
          <w:tcPr>
            <w:tcW w:w="0" w:type="auto"/>
          </w:tcPr>
          <w:p w14:paraId="4E0358B7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Contact mode</w:t>
            </w:r>
          </w:p>
        </w:tc>
        <w:tc>
          <w:tcPr>
            <w:tcW w:w="0" w:type="auto"/>
          </w:tcPr>
          <w:p w14:paraId="716F4C54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E-mail invitation via THD membership list.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673CE989" w14:textId="77777777">
        <w:tc>
          <w:tcPr>
            <w:tcW w:w="0" w:type="auto"/>
          </w:tcPr>
          <w:p w14:paraId="2DCC5EE3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Advertising / recruitment</w:t>
            </w:r>
          </w:p>
        </w:tc>
        <w:tc>
          <w:tcPr>
            <w:tcW w:w="0" w:type="auto"/>
          </w:tcPr>
          <w:p w14:paraId="1460F8FE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Not publicly advertised; no secondary channel. Single invitation e-mail; no reminders sent.</w:t>
            </w:r>
          </w:p>
        </w:tc>
      </w:tr>
      <w:tr w:rsidR="00303CF7" w:rsidRPr="00677D2D" w14:paraId="64252BA8" w14:textId="77777777">
        <w:tc>
          <w:tcPr>
            <w:tcW w:w="0" w:type="auto"/>
          </w:tcPr>
          <w:p w14:paraId="26D80EA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Survey administration — platform</w:t>
            </w:r>
          </w:p>
        </w:tc>
        <w:tc>
          <w:tcPr>
            <w:tcW w:w="0" w:type="auto"/>
          </w:tcPr>
          <w:p w14:paraId="49B5F28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Google Forms.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54FA9A6A" w14:textId="77777777">
        <w:tc>
          <w:tcPr>
            <w:tcW w:w="0" w:type="auto"/>
          </w:tcPr>
          <w:p w14:paraId="0108C259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Context / where published</w:t>
            </w:r>
          </w:p>
        </w:tc>
        <w:tc>
          <w:tcPr>
            <w:tcW w:w="0" w:type="auto"/>
          </w:tcPr>
          <w:p w14:paraId="48147C8A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Link delivered only in member e-mail.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689FE22C" w14:textId="77777777">
        <w:tc>
          <w:tcPr>
            <w:tcW w:w="0" w:type="auto"/>
          </w:tcPr>
          <w:p w14:paraId="2D02C979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Mandatory vs voluntary</w:t>
            </w:r>
          </w:p>
        </w:tc>
        <w:tc>
          <w:tcPr>
            <w:tcW w:w="0" w:type="auto"/>
          </w:tcPr>
          <w:p w14:paraId="5EF7EF30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Voluntary; could stop anytime.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</w:p>
        </w:tc>
      </w:tr>
      <w:tr w:rsidR="00303CF7" w:rsidRPr="00677D2D" w14:paraId="7AF95587" w14:textId="77777777">
        <w:tc>
          <w:tcPr>
            <w:tcW w:w="0" w:type="auto"/>
          </w:tcPr>
          <w:p w14:paraId="58B494BD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Incentives</w:t>
            </w:r>
          </w:p>
        </w:tc>
        <w:tc>
          <w:tcPr>
            <w:tcW w:w="0" w:type="auto"/>
          </w:tcPr>
          <w:p w14:paraId="22BAFFF0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None offered.</w:t>
            </w:r>
          </w:p>
        </w:tc>
      </w:tr>
      <w:tr w:rsidR="00303CF7" w:rsidRPr="00677D2D" w14:paraId="57265515" w14:textId="77777777">
        <w:tc>
          <w:tcPr>
            <w:tcW w:w="0" w:type="auto"/>
          </w:tcPr>
          <w:p w14:paraId="4A5316DA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Time/date (field period)</w:t>
            </w:r>
          </w:p>
        </w:tc>
        <w:tc>
          <w:tcPr>
            <w:tcW w:w="0" w:type="auto"/>
          </w:tcPr>
          <w:p w14:paraId="70A077F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15–30 May 2026 (after ethics approval on 14 May 2026).</w:t>
            </w:r>
          </w:p>
        </w:tc>
      </w:tr>
      <w:tr w:rsidR="00303CF7" w:rsidRPr="00677D2D" w14:paraId="10BB6570" w14:textId="77777777">
        <w:tc>
          <w:tcPr>
            <w:tcW w:w="0" w:type="auto"/>
          </w:tcPr>
          <w:p w14:paraId="749ADC1F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Randomization of item order</w:t>
            </w:r>
          </w:p>
        </w:tc>
        <w:tc>
          <w:tcPr>
            <w:tcW w:w="0" w:type="auto"/>
          </w:tcPr>
          <w:p w14:paraId="73FB74C3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No — fixed item order for all respondents.</w:t>
            </w:r>
          </w:p>
        </w:tc>
      </w:tr>
      <w:tr w:rsidR="00303CF7" w:rsidRPr="00677D2D" w14:paraId="1E41256B" w14:textId="77777777">
        <w:tc>
          <w:tcPr>
            <w:tcW w:w="0" w:type="auto"/>
          </w:tcPr>
          <w:p w14:paraId="002F3243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Adaptive questioning</w:t>
            </w:r>
          </w:p>
        </w:tc>
        <w:tc>
          <w:tcPr>
            <w:tcW w:w="0" w:type="auto"/>
          </w:tcPr>
          <w:p w14:paraId="2DA7ED23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Partial: C2–C4 relevant to clinical AI users (C1=yes); D2–D4 to research AI users (D1=yes).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Methods</w:t>
            </w:r>
          </w:p>
        </w:tc>
      </w:tr>
      <w:tr w:rsidR="00303CF7" w:rsidRPr="00677D2D" w14:paraId="7AB8CD88" w14:textId="77777777">
        <w:tc>
          <w:tcPr>
            <w:tcW w:w="0" w:type="auto"/>
          </w:tcPr>
          <w:p w14:paraId="44454998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Number of items / pages</w:t>
            </w:r>
          </w:p>
        </w:tc>
        <w:tc>
          <w:tcPr>
            <w:tcW w:w="0" w:type="auto"/>
          </w:tcPr>
          <w:p w14:paraId="31253040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41 items + one 5-row grid across 7 sections (Google Forms section-per-screen).</w:t>
            </w:r>
          </w:p>
        </w:tc>
      </w:tr>
      <w:tr w:rsidR="00303CF7" w:rsidRPr="00677D2D" w14:paraId="68CDB3FF" w14:textId="77777777">
        <w:tc>
          <w:tcPr>
            <w:tcW w:w="0" w:type="auto"/>
          </w:tcPr>
          <w:p w14:paraId="1EB1C2C9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Progress indicator</w:t>
            </w:r>
          </w:p>
        </w:tc>
        <w:tc>
          <w:tcPr>
            <w:tcW w:w="0" w:type="auto"/>
          </w:tcPr>
          <w:p w14:paraId="248A4D8C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Yes — section progress bar shown.</w:t>
            </w:r>
          </w:p>
        </w:tc>
      </w:tr>
      <w:tr w:rsidR="00303CF7" w:rsidRPr="00677D2D" w14:paraId="2E2FA28C" w14:textId="77777777">
        <w:tc>
          <w:tcPr>
            <w:tcW w:w="0" w:type="auto"/>
          </w:tcPr>
          <w:p w14:paraId="367F2A0F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Completeness check / required fields</w:t>
            </w:r>
          </w:p>
        </w:tc>
        <w:tc>
          <w:tcPr>
            <w:tcW w:w="0" w:type="auto"/>
          </w:tcPr>
          <w:p w14:paraId="477D54EB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All items required (mandatory)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except conditional items (shown only when applicable, e.g., C1=yes); enforced by the platform → mandatory items have near-zero item-missingness.</w:t>
            </w:r>
          </w:p>
        </w:tc>
      </w:tr>
      <w:tr w:rsidR="00303CF7" w:rsidRPr="00677D2D" w14:paraId="383F19D3" w14:textId="77777777">
        <w:tc>
          <w:tcPr>
            <w:tcW w:w="0" w:type="auto"/>
          </w:tcPr>
          <w:p w14:paraId="747BB344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Review/change step (back button)</w:t>
            </w:r>
          </w:p>
        </w:tc>
        <w:tc>
          <w:tcPr>
            <w:tcW w:w="0" w:type="auto"/>
          </w:tcPr>
          <w:p w14:paraId="489932CF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Yes — respondents could navigate back and change answers before final submission.</w:t>
            </w:r>
          </w:p>
        </w:tc>
      </w:tr>
      <w:tr w:rsidR="00303CF7" w:rsidRPr="00677D2D" w14:paraId="7C7C6636" w14:textId="77777777">
        <w:tc>
          <w:tcPr>
            <w:tcW w:w="0" w:type="auto"/>
          </w:tcPr>
          <w:p w14:paraId="67CE7955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Response rates — invited</w:t>
            </w:r>
          </w:p>
        </w:tc>
        <w:tc>
          <w:tcPr>
            <w:tcW w:w="0" w:type="auto"/>
          </w:tcPr>
          <w:p w14:paraId="7711AF3B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639 adult &amp; pediatric hematologists (THD verified-member mailing list).</w:t>
            </w:r>
          </w:p>
        </w:tc>
      </w:tr>
      <w:tr w:rsidR="00303CF7" w:rsidRPr="00677D2D" w14:paraId="3DB00CB1" w14:textId="77777777">
        <w:tc>
          <w:tcPr>
            <w:tcW w:w="0" w:type="auto"/>
          </w:tcPr>
          <w:p w14:paraId="4B6A2884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Response/completion rate</w:t>
            </w:r>
          </w:p>
        </w:tc>
        <w:tc>
          <w:tcPr>
            <w:tcW w:w="0" w:type="auto"/>
          </w:tcPr>
          <w:p w14:paraId="42A13661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146/639 = </w:t>
            </w: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22.8%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(completed responses / invited members).</w:t>
            </w:r>
          </w:p>
        </w:tc>
      </w:tr>
      <w:tr w:rsidR="00303CF7" w:rsidRPr="00677D2D" w14:paraId="5E25706B" w14:textId="77777777">
        <w:tc>
          <w:tcPr>
            <w:tcW w:w="0" w:type="auto"/>
          </w:tcPr>
          <w:p w14:paraId="25E3B9E5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View / participation rate</w:t>
            </w:r>
          </w:p>
        </w:tc>
        <w:tc>
          <w:tcPr>
            <w:tcW w:w="0" w:type="auto"/>
          </w:tcPr>
          <w:p w14:paraId="2C5F46A2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Not available — Google Forms did not capture unique visitors / first-page views for a closed e-mail survey.</w:t>
            </w:r>
          </w:p>
        </w:tc>
      </w:tr>
      <w:tr w:rsidR="00303CF7" w:rsidRPr="00677D2D" w14:paraId="37D7BB24" w14:textId="77777777">
        <w:tc>
          <w:tcPr>
            <w:tcW w:w="0" w:type="auto"/>
          </w:tcPr>
          <w:p w14:paraId="5D56A238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Preventing multiple entries</w:t>
            </w:r>
          </w:p>
        </w:tc>
        <w:tc>
          <w:tcPr>
            <w:tcW w:w="0" w:type="auto"/>
          </w:tcPr>
          <w:p w14:paraId="5F9A2704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>Yes — "Limit to 1 response" enabled (Google sign-in → one submission per account); respondent email/identity not collected or stored, preserving anonymity.</w:t>
            </w:r>
          </w:p>
        </w:tc>
      </w:tr>
      <w:tr w:rsidR="00303CF7" w:rsidRPr="00677D2D" w14:paraId="52A38921" w14:textId="77777777">
        <w:tc>
          <w:tcPr>
            <w:tcW w:w="0" w:type="auto"/>
          </w:tcPr>
          <w:p w14:paraId="6A332320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Analysis — incomplete questionnaires</w:t>
            </w:r>
          </w:p>
        </w:tc>
        <w:tc>
          <w:tcPr>
            <w:tcW w:w="0" w:type="auto"/>
          </w:tcPr>
          <w:p w14:paraId="46D774AA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Handling per SAP; conditional skips not counted as missing; </w:t>
            </w:r>
            <w:proofErr w:type="gramStart"/>
            <w:r w:rsidRPr="00677D2D">
              <w:rPr>
                <w:rFonts w:ascii="Times New Roman" w:hAnsi="Times New Roman" w:cs="Times New Roman"/>
                <w:color w:val="000000" w:themeColor="text1"/>
              </w:rPr>
              <w:t>complete-case</w:t>
            </w:r>
            <w:proofErr w:type="gramEnd"/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per item; denominators reported.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SAP</w:t>
            </w:r>
          </w:p>
        </w:tc>
      </w:tr>
      <w:tr w:rsidR="00303CF7" w:rsidRPr="00677D2D" w14:paraId="6BAA6909" w14:textId="77777777">
        <w:tc>
          <w:tcPr>
            <w:tcW w:w="0" w:type="auto"/>
          </w:tcPr>
          <w:p w14:paraId="66D09BFD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Analysis — timestamp/atypical</w:t>
            </w:r>
          </w:p>
        </w:tc>
        <w:tc>
          <w:tcPr>
            <w:tcW w:w="0" w:type="auto"/>
          </w:tcPr>
          <w:p w14:paraId="6BFD336A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No exclusions by completion time, response timestamp, or outlier criteria; all eligible, consenting complete responses were analyzed as collected (only the consent/eligibility filter was applied).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SAP/Methods</w:t>
            </w:r>
          </w:p>
        </w:tc>
      </w:tr>
      <w:tr w:rsidR="00303CF7" w:rsidRPr="00677D2D" w14:paraId="1E6D8A34" w14:textId="77777777">
        <w:tc>
          <w:tcPr>
            <w:tcW w:w="0" w:type="auto"/>
          </w:tcPr>
          <w:p w14:paraId="038C5DF5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Statistical correction / weighting</w:t>
            </w:r>
          </w:p>
        </w:tc>
        <w:tc>
          <w:tcPr>
            <w:tcW w:w="0" w:type="auto"/>
          </w:tcPr>
          <w:p w14:paraId="3AFD31D5" w14:textId="77777777" w:rsidR="00303CF7" w:rsidRPr="00677D2D" w:rsidRDefault="00000000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None (unweighted); multiplicity via Benjamini–Hochberg for exploratory tests. </w:t>
            </w:r>
            <w:r w:rsidRPr="00677D2D">
              <w:rPr>
                <w:rFonts w:ascii="Apple Color Emoji" w:hAnsi="Apple Color Emoji" w:cs="Apple Color Emoji"/>
                <w:color w:val="000000" w:themeColor="text1"/>
              </w:rPr>
              <w:t>✔</w:t>
            </w:r>
            <w:r w:rsidRPr="00677D2D">
              <w:rPr>
                <w:rFonts w:ascii="Times New Roman" w:hAnsi="Times New Roman" w:cs="Times New Roman"/>
                <w:color w:val="000000" w:themeColor="text1"/>
              </w:rPr>
              <w:t xml:space="preserve"> SAP</w:t>
            </w:r>
          </w:p>
        </w:tc>
      </w:tr>
    </w:tbl>
    <w:p w14:paraId="6B5BADDA" w14:textId="77777777" w:rsidR="00303CF7" w:rsidRPr="00677D2D" w:rsidRDefault="00000000">
      <w:pPr>
        <w:pStyle w:val="Heading2"/>
        <w:rPr>
          <w:rFonts w:ascii="Times New Roman" w:hAnsi="Times New Roman" w:cs="Times New Roman"/>
          <w:color w:val="000000" w:themeColor="text1"/>
        </w:rPr>
      </w:pPr>
      <w:bookmarkStart w:id="2" w:name="notes"/>
      <w:bookmarkEnd w:id="1"/>
      <w:r w:rsidRPr="00677D2D">
        <w:rPr>
          <w:rFonts w:ascii="Times New Roman" w:hAnsi="Times New Roman" w:cs="Times New Roman"/>
          <w:color w:val="000000" w:themeColor="text1"/>
        </w:rPr>
        <w:t>Notes</w:t>
      </w:r>
    </w:p>
    <w:p w14:paraId="3729708B" w14:textId="77777777" w:rsidR="00303CF7" w:rsidRPr="00677D2D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677D2D">
        <w:rPr>
          <w:rFonts w:ascii="Times New Roman" w:hAnsi="Times New Roman" w:cs="Times New Roman"/>
          <w:color w:val="000000" w:themeColor="text1"/>
        </w:rPr>
        <w:t>Data-protection/KVKK statement: completed in the Data protection row above.</w:t>
      </w:r>
    </w:p>
    <w:p w14:paraId="4BCF50FF" w14:textId="1F35A911" w:rsidR="00303CF7" w:rsidRPr="00677D2D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</w:rPr>
      </w:pPr>
      <w:r w:rsidRPr="00677D2D">
        <w:rPr>
          <w:rFonts w:ascii="Times New Roman" w:hAnsi="Times New Roman" w:cs="Times New Roman"/>
          <w:color w:val="000000" w:themeColor="text1"/>
        </w:rPr>
        <w:t>Free-text themes were generated by the Gemini feature in Google Forms from the responses themselves (not pre-specified by the authors), which also assigned responses to those categories. The three authors read the original responses in full, verified the AI-</w:t>
      </w:r>
      <w:r w:rsidRPr="00677D2D">
        <w:rPr>
          <w:rFonts w:ascii="Times New Roman" w:hAnsi="Times New Roman" w:cs="Times New Roman"/>
          <w:color w:val="000000" w:themeColor="text1"/>
        </w:rPr>
        <w:lastRenderedPageBreak/>
        <w:t>derived categories against them, and adopted them by consensus without modification. The theme frequencies reported in the manuscript were recomputed independently with a deterministic keyword-matching script, not taken from the AI output. No inter-coder agreement statistic is reported (see Statistical analysis).</w:t>
      </w:r>
    </w:p>
    <w:p w14:paraId="6B6331EF" w14:textId="77777777" w:rsidR="00303CF7" w:rsidRPr="00677D2D" w:rsidRDefault="00000000">
      <w:pPr>
        <w:pStyle w:val="FirstParagraph"/>
        <w:rPr>
          <w:rFonts w:ascii="Times New Roman" w:hAnsi="Times New Roman" w:cs="Times New Roman"/>
          <w:color w:val="000000" w:themeColor="text1"/>
        </w:rPr>
      </w:pPr>
      <w:r w:rsidRPr="00677D2D">
        <w:rPr>
          <w:rFonts w:ascii="Times New Roman" w:hAnsi="Times New Roman" w:cs="Times New Roman"/>
          <w:i/>
          <w:iCs/>
          <w:color w:val="000000" w:themeColor="text1"/>
        </w:rPr>
        <w:t>Resolved (from team): invited N = 639; response/completion rate 22.8% (146/639); field period 15–30 May 2026 (after 14 May approval); progress bar shown; back/review enabled; single invitation, no reminders; no incentive; one-response-per-account dedup (email not collected); fixed item order; all-mandatory except conditional; investigator-developed, no formal pilot/validation.</w:t>
      </w:r>
      <w:bookmarkEnd w:id="0"/>
      <w:bookmarkEnd w:id="2"/>
    </w:p>
    <w:sectPr w:rsidR="00303CF7" w:rsidRPr="00677D2D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3E0496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D70726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08891404">
    <w:abstractNumId w:val="0"/>
  </w:num>
  <w:num w:numId="2" w16cid:durableId="9886279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3CF7"/>
    <w:rsid w:val="00303CF7"/>
    <w:rsid w:val="00677D2D"/>
    <w:rsid w:val="00F2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3D572A"/>
  <w15:docId w15:val="{71367E06-48D2-A84B-8D6C-342C38DD2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Olgu Erkin CINAR</cp:lastModifiedBy>
  <cp:revision>2</cp:revision>
  <dcterms:created xsi:type="dcterms:W3CDTF">2026-06-21T18:19:00Z</dcterms:created>
  <dcterms:modified xsi:type="dcterms:W3CDTF">2026-07-26T21:25:00Z</dcterms:modified>
</cp:coreProperties>
</file>