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A086D" w14:textId="06E0FC7C" w:rsidR="005514EC" w:rsidRPr="005514EC" w:rsidRDefault="005514EC" w:rsidP="005514EC">
      <w:pPr>
        <w:spacing w:after="120"/>
        <w:rPr>
          <w:rFonts w:ascii="Times New Roman" w:eastAsia="新細明體" w:hAnsi="Times New Roman" w:cs="Times New Roman" w:hint="eastAsia"/>
          <w:b/>
          <w:bCs/>
          <w:sz w:val="32"/>
          <w:szCs w:val="32"/>
          <w:lang w:eastAsia="zh-TW"/>
        </w:rPr>
      </w:pPr>
      <w:r w:rsidRPr="005514EC">
        <w:rPr>
          <w:rFonts w:ascii="Times New Roman" w:hAnsi="Times New Roman" w:cs="Times New Roman"/>
          <w:b/>
          <w:bCs/>
          <w:sz w:val="32"/>
          <w:szCs w:val="32"/>
        </w:rPr>
        <w:t>Additional</w:t>
      </w:r>
      <w:r w:rsidRPr="005514EC">
        <w:rPr>
          <w:rFonts w:ascii="新細明體" w:eastAsia="新細明體" w:hAnsi="新細明體" w:cs="Times New Roman"/>
          <w:b/>
          <w:bCs/>
          <w:sz w:val="32"/>
          <w:szCs w:val="32"/>
          <w:lang w:eastAsia="zh-TW"/>
        </w:rPr>
        <w:t xml:space="preserve"> </w:t>
      </w:r>
      <w:r w:rsidRPr="005514EC">
        <w:rPr>
          <w:rFonts w:ascii="Times New Roman" w:hAnsi="Times New Roman" w:cs="Times New Roman"/>
          <w:b/>
          <w:bCs/>
          <w:sz w:val="32"/>
          <w:szCs w:val="32"/>
        </w:rPr>
        <w:t>file</w:t>
      </w:r>
      <w:r w:rsidRPr="005514EC">
        <w:rPr>
          <w:rFonts w:ascii="新細明體" w:eastAsia="新細明體" w:hAnsi="新細明體" w:cs="Times New Roman"/>
          <w:b/>
          <w:bCs/>
          <w:sz w:val="32"/>
          <w:szCs w:val="32"/>
          <w:lang w:eastAsia="zh-TW"/>
        </w:rPr>
        <w:t xml:space="preserve"> </w:t>
      </w:r>
      <w:r>
        <w:rPr>
          <w:rFonts w:ascii="微軟正黑體" w:eastAsia="微軟正黑體" w:hAnsi="微軟正黑體" w:cs="微軟正黑體" w:hint="eastAsia"/>
          <w:b/>
          <w:bCs/>
          <w:sz w:val="32"/>
          <w:szCs w:val="32"/>
          <w:lang w:eastAsia="zh-TW"/>
        </w:rPr>
        <w:t>1</w:t>
      </w:r>
    </w:p>
    <w:p w14:paraId="202267B2" w14:textId="63E731B0" w:rsidR="002704B3" w:rsidRPr="00060B59" w:rsidRDefault="0042132E">
      <w:pPr>
        <w:rPr>
          <w:rFonts w:ascii="Times New Roman" w:hAnsi="Times New Roman" w:cs="Times New Roman"/>
          <w:sz w:val="24"/>
          <w:szCs w:val="24"/>
        </w:rPr>
      </w:pPr>
      <w:r w:rsidRPr="00060B59">
        <w:rPr>
          <w:rFonts w:ascii="Times New Roman" w:hAnsi="Times New Roman" w:cs="Times New Roman"/>
          <w:b/>
          <w:sz w:val="24"/>
          <w:szCs w:val="24"/>
        </w:rPr>
        <w:t>STROBE Statement checklist</w:t>
      </w:r>
    </w:p>
    <w:p w14:paraId="62F0ECDB" w14:textId="77777777" w:rsidR="002704B3" w:rsidRPr="00060B59" w:rsidRDefault="0042132E">
      <w:pPr>
        <w:rPr>
          <w:rFonts w:ascii="Times New Roman" w:hAnsi="Times New Roman" w:cs="Times New Roman"/>
          <w:sz w:val="24"/>
          <w:szCs w:val="24"/>
        </w:rPr>
      </w:pPr>
      <w:r w:rsidRPr="00060B59">
        <w:rPr>
          <w:rFonts w:ascii="Times New Roman" w:hAnsi="Times New Roman" w:cs="Times New Roman"/>
          <w:i/>
          <w:sz w:val="24"/>
          <w:szCs w:val="24"/>
        </w:rPr>
        <w:t>Checklist of items that should be included in reports of observational studies. Manuscript: "Simulation-Based Ultrasound-Guided Lumbar Puncture Training Using a Flipped Classroom: A Single-Arm Pilot Programme Evaluation." Study design: prospective single-arm sequential programme evaluation (observational).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041"/>
        <w:gridCol w:w="1797"/>
        <w:gridCol w:w="2011"/>
        <w:gridCol w:w="3007"/>
      </w:tblGrid>
      <w:tr w:rsidR="00FC3887" w:rsidRPr="00FC3887" w14:paraId="45B0113B" w14:textId="77777777">
        <w:tc>
          <w:tcPr>
            <w:tcW w:w="2160" w:type="dxa"/>
          </w:tcPr>
          <w:p w14:paraId="4FBB7B8D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b/>
                <w:sz w:val="16"/>
              </w:rPr>
              <w:t>Section / Item</w:t>
            </w:r>
          </w:p>
        </w:tc>
        <w:tc>
          <w:tcPr>
            <w:tcW w:w="2160" w:type="dxa"/>
          </w:tcPr>
          <w:p w14:paraId="667FC2F0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b/>
                <w:sz w:val="16"/>
              </w:rPr>
              <w:t>No.</w:t>
            </w:r>
          </w:p>
        </w:tc>
        <w:tc>
          <w:tcPr>
            <w:tcW w:w="2160" w:type="dxa"/>
          </w:tcPr>
          <w:p w14:paraId="4E664E8C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b/>
                <w:sz w:val="16"/>
              </w:rPr>
              <w:t>Recommendation</w:t>
            </w:r>
          </w:p>
        </w:tc>
        <w:tc>
          <w:tcPr>
            <w:tcW w:w="2160" w:type="dxa"/>
          </w:tcPr>
          <w:p w14:paraId="45E03723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b/>
                <w:sz w:val="16"/>
              </w:rPr>
              <w:t>Reported in (section)</w:t>
            </w:r>
          </w:p>
        </w:tc>
      </w:tr>
      <w:tr w:rsidR="00FC3887" w:rsidRPr="00FC3887" w14:paraId="43DC3D5E" w14:textId="77777777">
        <w:tc>
          <w:tcPr>
            <w:tcW w:w="2160" w:type="dxa"/>
          </w:tcPr>
          <w:p w14:paraId="0E91E445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Title and abstract</w:t>
            </w:r>
          </w:p>
        </w:tc>
        <w:tc>
          <w:tcPr>
            <w:tcW w:w="2160" w:type="dxa"/>
          </w:tcPr>
          <w:p w14:paraId="0DEEEAC2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1a</w:t>
            </w:r>
          </w:p>
        </w:tc>
        <w:tc>
          <w:tcPr>
            <w:tcW w:w="2160" w:type="dxa"/>
          </w:tcPr>
          <w:p w14:paraId="21B0D717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Indicate the study’s design with a commonly used term in the title or the abstract</w:t>
            </w:r>
          </w:p>
        </w:tc>
        <w:tc>
          <w:tcPr>
            <w:tcW w:w="2160" w:type="dxa"/>
          </w:tcPr>
          <w:p w14:paraId="18385331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Title (“Single-Arm Pilot Programme Evaluation”); Abstract (Methods)</w:t>
            </w:r>
          </w:p>
        </w:tc>
      </w:tr>
      <w:tr w:rsidR="00FC3887" w:rsidRPr="00FC3887" w14:paraId="61C9BCC7" w14:textId="77777777">
        <w:tc>
          <w:tcPr>
            <w:tcW w:w="2160" w:type="dxa"/>
          </w:tcPr>
          <w:p w14:paraId="732B0C52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5584A970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1b</w:t>
            </w:r>
          </w:p>
        </w:tc>
        <w:tc>
          <w:tcPr>
            <w:tcW w:w="2160" w:type="dxa"/>
          </w:tcPr>
          <w:p w14:paraId="5D650D12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Provide in the abstract an informative and balanced summary of what was done and what was found</w:t>
            </w:r>
          </w:p>
        </w:tc>
        <w:tc>
          <w:tcPr>
            <w:tcW w:w="2160" w:type="dxa"/>
          </w:tcPr>
          <w:p w14:paraId="08B34E26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Abstract (Introduction/Methods/Results/Conclusion)</w:t>
            </w:r>
          </w:p>
        </w:tc>
      </w:tr>
      <w:tr w:rsidR="00FC3887" w:rsidRPr="00FC3887" w14:paraId="459470CA" w14:textId="77777777">
        <w:tc>
          <w:tcPr>
            <w:tcW w:w="2160" w:type="dxa"/>
          </w:tcPr>
          <w:p w14:paraId="135C083F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b/>
                <w:sz w:val="16"/>
              </w:rPr>
              <w:t>INTRODUCTION</w:t>
            </w:r>
          </w:p>
        </w:tc>
        <w:tc>
          <w:tcPr>
            <w:tcW w:w="2160" w:type="dxa"/>
          </w:tcPr>
          <w:p w14:paraId="4CB50638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57BC6810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1F0FFDB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</w:tr>
      <w:tr w:rsidR="00FC3887" w:rsidRPr="00FC3887" w14:paraId="3D2B163B" w14:textId="77777777">
        <w:tc>
          <w:tcPr>
            <w:tcW w:w="2160" w:type="dxa"/>
          </w:tcPr>
          <w:p w14:paraId="6AB7D583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Background/rationale</w:t>
            </w:r>
          </w:p>
        </w:tc>
        <w:tc>
          <w:tcPr>
            <w:tcW w:w="2160" w:type="dxa"/>
          </w:tcPr>
          <w:p w14:paraId="29870484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2160" w:type="dxa"/>
          </w:tcPr>
          <w:p w14:paraId="3BC51472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Explain the scientific background and rationale for the investigation</w:t>
            </w:r>
          </w:p>
        </w:tc>
        <w:tc>
          <w:tcPr>
            <w:tcW w:w="2160" w:type="dxa"/>
          </w:tcPr>
          <w:p w14:paraId="12AE20C0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Introduction, paragraphs 1–3</w:t>
            </w:r>
          </w:p>
        </w:tc>
      </w:tr>
      <w:tr w:rsidR="00FC3887" w:rsidRPr="00FC3887" w14:paraId="343A7372" w14:textId="77777777">
        <w:tc>
          <w:tcPr>
            <w:tcW w:w="2160" w:type="dxa"/>
          </w:tcPr>
          <w:p w14:paraId="39009CEA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Objectives</w:t>
            </w:r>
          </w:p>
        </w:tc>
        <w:tc>
          <w:tcPr>
            <w:tcW w:w="2160" w:type="dxa"/>
          </w:tcPr>
          <w:p w14:paraId="6790A1C9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2160" w:type="dxa"/>
          </w:tcPr>
          <w:p w14:paraId="329B81A0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State specific objectives, including any prespecified hypotheses</w:t>
            </w:r>
          </w:p>
        </w:tc>
        <w:tc>
          <w:tcPr>
            <w:tcW w:w="2160" w:type="dxa"/>
          </w:tcPr>
          <w:p w14:paraId="12C8964B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Introduction, final paragraph (objective + hypotheses)</w:t>
            </w:r>
          </w:p>
        </w:tc>
      </w:tr>
      <w:tr w:rsidR="00FC3887" w:rsidRPr="00FC3887" w14:paraId="2CACC962" w14:textId="77777777">
        <w:tc>
          <w:tcPr>
            <w:tcW w:w="2160" w:type="dxa"/>
          </w:tcPr>
          <w:p w14:paraId="416B98BB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b/>
                <w:sz w:val="16"/>
              </w:rPr>
              <w:t>METHODS</w:t>
            </w:r>
          </w:p>
        </w:tc>
        <w:tc>
          <w:tcPr>
            <w:tcW w:w="2160" w:type="dxa"/>
          </w:tcPr>
          <w:p w14:paraId="57CF203D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014A9FD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3CA22FA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</w:tr>
      <w:tr w:rsidR="00FC3887" w:rsidRPr="00FC3887" w14:paraId="68D00E78" w14:textId="77777777">
        <w:tc>
          <w:tcPr>
            <w:tcW w:w="2160" w:type="dxa"/>
          </w:tcPr>
          <w:p w14:paraId="7BB6721D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Study design</w:t>
            </w:r>
          </w:p>
        </w:tc>
        <w:tc>
          <w:tcPr>
            <w:tcW w:w="2160" w:type="dxa"/>
          </w:tcPr>
          <w:p w14:paraId="2144C79C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2160" w:type="dxa"/>
          </w:tcPr>
          <w:p w14:paraId="66AA75EC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Present key elements of study design early in the paper</w:t>
            </w:r>
          </w:p>
        </w:tc>
        <w:tc>
          <w:tcPr>
            <w:tcW w:w="2160" w:type="dxa"/>
          </w:tcPr>
          <w:p w14:paraId="347ADF2A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Methods §2.1 (prospective single-arm sequential programme evaluation)</w:t>
            </w:r>
          </w:p>
        </w:tc>
      </w:tr>
      <w:tr w:rsidR="00FC3887" w:rsidRPr="00FC3887" w14:paraId="24E40E26" w14:textId="77777777">
        <w:tc>
          <w:tcPr>
            <w:tcW w:w="2160" w:type="dxa"/>
          </w:tcPr>
          <w:p w14:paraId="10C804FD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Setting</w:t>
            </w:r>
          </w:p>
        </w:tc>
        <w:tc>
          <w:tcPr>
            <w:tcW w:w="2160" w:type="dxa"/>
          </w:tcPr>
          <w:p w14:paraId="647406E5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2160" w:type="dxa"/>
          </w:tcPr>
          <w:p w14:paraId="523966BE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Describe the setting, locations, and relevant dates (recruitment, exposure, follow-up, data collection)</w:t>
            </w:r>
          </w:p>
        </w:tc>
        <w:tc>
          <w:tcPr>
            <w:tcW w:w="2160" w:type="dxa"/>
          </w:tcPr>
          <w:p w14:paraId="7F2761E8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Methods §2.1 (CSMUH, central Taiwan, January–June 2022)</w:t>
            </w:r>
          </w:p>
        </w:tc>
      </w:tr>
      <w:tr w:rsidR="00FC3887" w:rsidRPr="00FC3887" w14:paraId="3F556FDC" w14:textId="77777777">
        <w:tc>
          <w:tcPr>
            <w:tcW w:w="2160" w:type="dxa"/>
          </w:tcPr>
          <w:p w14:paraId="5BFF8DDC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Participants</w:t>
            </w:r>
          </w:p>
        </w:tc>
        <w:tc>
          <w:tcPr>
            <w:tcW w:w="2160" w:type="dxa"/>
          </w:tcPr>
          <w:p w14:paraId="75F22AC1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6a</w:t>
            </w:r>
          </w:p>
        </w:tc>
        <w:tc>
          <w:tcPr>
            <w:tcW w:w="2160" w:type="dxa"/>
          </w:tcPr>
          <w:p w14:paraId="665F154A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Give the eligibility criteria, and the sources and methods of selection of participants</w:t>
            </w:r>
          </w:p>
        </w:tc>
        <w:tc>
          <w:tcPr>
            <w:tcW w:w="2160" w:type="dxa"/>
          </w:tcPr>
          <w:p w14:paraId="68C0965D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Methods §2.2 (EM residents – mandatory; PGY trainees – voluntary); Figure 1</w:t>
            </w:r>
          </w:p>
        </w:tc>
      </w:tr>
      <w:tr w:rsidR="00FC3887" w:rsidRPr="00FC3887" w14:paraId="4D2B1CE3" w14:textId="77777777">
        <w:tc>
          <w:tcPr>
            <w:tcW w:w="2160" w:type="dxa"/>
          </w:tcPr>
          <w:p w14:paraId="4BB13159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7BF08C8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6b</w:t>
            </w:r>
          </w:p>
        </w:tc>
        <w:tc>
          <w:tcPr>
            <w:tcW w:w="2160" w:type="dxa"/>
          </w:tcPr>
          <w:p w14:paraId="26C0DE9D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(Cohort/matched) matching criteria / exposure–unexposed — not applicable (single-arm; each resident is own control across sequential phases)</w:t>
            </w:r>
          </w:p>
        </w:tc>
        <w:tc>
          <w:tcPr>
            <w:tcW w:w="2160" w:type="dxa"/>
          </w:tcPr>
          <w:p w14:paraId="5028ED79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Methods §2.2 (paired within-resident comparison)</w:t>
            </w:r>
          </w:p>
        </w:tc>
      </w:tr>
      <w:tr w:rsidR="00FC3887" w:rsidRPr="00FC3887" w14:paraId="6B503FC2" w14:textId="77777777">
        <w:tc>
          <w:tcPr>
            <w:tcW w:w="2160" w:type="dxa"/>
          </w:tcPr>
          <w:p w14:paraId="0A0019D1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Variables</w:t>
            </w:r>
          </w:p>
        </w:tc>
        <w:tc>
          <w:tcPr>
            <w:tcW w:w="2160" w:type="dxa"/>
          </w:tcPr>
          <w:p w14:paraId="40EB293D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2160" w:type="dxa"/>
          </w:tcPr>
          <w:p w14:paraId="1899D97C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Clearly define all outcomes, exposures, predictors, potential confounders, and effect modifiers</w:t>
            </w:r>
          </w:p>
        </w:tc>
        <w:tc>
          <w:tcPr>
            <w:tcW w:w="2160" w:type="dxa"/>
          </w:tcPr>
          <w:p w14:paraId="61393918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Methods §2.5 (primary OSCE outcomes; secondary psychological/satisfaction)</w:t>
            </w:r>
          </w:p>
        </w:tc>
      </w:tr>
      <w:tr w:rsidR="00FC3887" w:rsidRPr="00FC3887" w14:paraId="23DA1F97" w14:textId="77777777">
        <w:tc>
          <w:tcPr>
            <w:tcW w:w="2160" w:type="dxa"/>
          </w:tcPr>
          <w:p w14:paraId="00AAE0DA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Data sources/measurement</w:t>
            </w:r>
          </w:p>
        </w:tc>
        <w:tc>
          <w:tcPr>
            <w:tcW w:w="2160" w:type="dxa"/>
          </w:tcPr>
          <w:p w14:paraId="3680C9E9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2160" w:type="dxa"/>
          </w:tcPr>
          <w:p w14:paraId="05CECAC3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For each variable, give sources of data and details of methods of assessment; comparability of methods if &gt;1 group</w:t>
            </w:r>
          </w:p>
        </w:tc>
        <w:tc>
          <w:tcPr>
            <w:tcW w:w="2160" w:type="dxa"/>
          </w:tcPr>
          <w:p w14:paraId="694554FB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Methods §2.3 (intervention), §2.4 (simulator), §2.5 (measures); same rubric both OSCEs except item 2</w:t>
            </w:r>
          </w:p>
        </w:tc>
      </w:tr>
      <w:tr w:rsidR="00FC3887" w:rsidRPr="00FC3887" w14:paraId="4CF76830" w14:textId="77777777">
        <w:tc>
          <w:tcPr>
            <w:tcW w:w="2160" w:type="dxa"/>
          </w:tcPr>
          <w:p w14:paraId="01FAA7BF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Bias</w:t>
            </w:r>
          </w:p>
        </w:tc>
        <w:tc>
          <w:tcPr>
            <w:tcW w:w="2160" w:type="dxa"/>
          </w:tcPr>
          <w:p w14:paraId="0801ED3B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2160" w:type="dxa"/>
          </w:tcPr>
          <w:p w14:paraId="4CF6B5AB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Describe any efforts to address potential sources of bias</w:t>
            </w:r>
          </w:p>
        </w:tc>
        <w:tc>
          <w:tcPr>
            <w:tcW w:w="2160" w:type="dxa"/>
          </w:tcPr>
          <w:p w14:paraId="2FA44BA9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Methods §2.2 (selection bias), §2.3 (assessors non-blinded; objective anchors, dual raters); Discussion §4.4</w:t>
            </w:r>
          </w:p>
        </w:tc>
      </w:tr>
      <w:tr w:rsidR="00FC3887" w:rsidRPr="00FC3887" w14:paraId="591D1BAD" w14:textId="77777777">
        <w:tc>
          <w:tcPr>
            <w:tcW w:w="2160" w:type="dxa"/>
          </w:tcPr>
          <w:p w14:paraId="4A64D274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Study size</w:t>
            </w:r>
          </w:p>
        </w:tc>
        <w:tc>
          <w:tcPr>
            <w:tcW w:w="2160" w:type="dxa"/>
          </w:tcPr>
          <w:p w14:paraId="18EA7DE4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2160" w:type="dxa"/>
          </w:tcPr>
          <w:p w14:paraId="76EC4DD2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Explain how the study size was arrived at</w:t>
            </w:r>
          </w:p>
        </w:tc>
        <w:tc>
          <w:tcPr>
            <w:tcW w:w="2160" w:type="dxa"/>
          </w:tcPr>
          <w:p w14:paraId="627261C1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Methods §2.6 (no a priori sample-size calculation; convenience sample of all available trainees)</w:t>
            </w:r>
          </w:p>
        </w:tc>
      </w:tr>
      <w:tr w:rsidR="00FC3887" w:rsidRPr="00FC3887" w14:paraId="750D2005" w14:textId="77777777">
        <w:tc>
          <w:tcPr>
            <w:tcW w:w="2160" w:type="dxa"/>
          </w:tcPr>
          <w:p w14:paraId="4CBBB1A2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Quantitative variables</w:t>
            </w:r>
          </w:p>
        </w:tc>
        <w:tc>
          <w:tcPr>
            <w:tcW w:w="2160" w:type="dxa"/>
          </w:tcPr>
          <w:p w14:paraId="579A825F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2160" w:type="dxa"/>
          </w:tcPr>
          <w:p w14:paraId="5D884D47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Explain how quantitative variables were handled in the analyses</w:t>
            </w:r>
          </w:p>
        </w:tc>
        <w:tc>
          <w:tcPr>
            <w:tcW w:w="2160" w:type="dxa"/>
          </w:tcPr>
          <w:p w14:paraId="510983AB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Methods §2.5–2.6 (0–12 score, 0–5 rating, puncture count, procedure time; normality tested)</w:t>
            </w:r>
          </w:p>
        </w:tc>
      </w:tr>
      <w:tr w:rsidR="00FC3887" w:rsidRPr="00FC3887" w14:paraId="2BB9E8F6" w14:textId="77777777">
        <w:tc>
          <w:tcPr>
            <w:tcW w:w="2160" w:type="dxa"/>
          </w:tcPr>
          <w:p w14:paraId="1392450C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Statistical methods</w:t>
            </w:r>
          </w:p>
        </w:tc>
        <w:tc>
          <w:tcPr>
            <w:tcW w:w="2160" w:type="dxa"/>
          </w:tcPr>
          <w:p w14:paraId="6D6FA01E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12a</w:t>
            </w:r>
          </w:p>
        </w:tc>
        <w:tc>
          <w:tcPr>
            <w:tcW w:w="2160" w:type="dxa"/>
          </w:tcPr>
          <w:p w14:paraId="6E5E9907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 xml:space="preserve">Describe all statistical </w:t>
            </w:r>
            <w:r w:rsidRPr="00FC3887">
              <w:rPr>
                <w:rFonts w:ascii="Times New Roman" w:hAnsi="Times New Roman" w:cs="Times New Roman"/>
                <w:sz w:val="16"/>
              </w:rPr>
              <w:lastRenderedPageBreak/>
              <w:t>methods, including those used to control for confounding</w:t>
            </w:r>
          </w:p>
        </w:tc>
        <w:tc>
          <w:tcPr>
            <w:tcW w:w="2160" w:type="dxa"/>
          </w:tcPr>
          <w:p w14:paraId="3E21A4BE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lastRenderedPageBreak/>
              <w:t xml:space="preserve">Methods §2.6 (paired t-tests; Fisher’s </w:t>
            </w:r>
            <w:r w:rsidRPr="00FC3887">
              <w:rPr>
                <w:rFonts w:ascii="Times New Roman" w:hAnsi="Times New Roman" w:cs="Times New Roman"/>
                <w:sz w:val="16"/>
              </w:rPr>
              <w:lastRenderedPageBreak/>
              <w:t>exact; Cohen’s d; secondary outcomes descriptive only)</w:t>
            </w:r>
          </w:p>
        </w:tc>
      </w:tr>
      <w:tr w:rsidR="00FC3887" w:rsidRPr="00FC3887" w14:paraId="50664D0F" w14:textId="77777777">
        <w:tc>
          <w:tcPr>
            <w:tcW w:w="2160" w:type="dxa"/>
          </w:tcPr>
          <w:p w14:paraId="162AFA57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9D28E56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12b</w:t>
            </w:r>
          </w:p>
        </w:tc>
        <w:tc>
          <w:tcPr>
            <w:tcW w:w="2160" w:type="dxa"/>
          </w:tcPr>
          <w:p w14:paraId="6DAB2B97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Describe any methods used to examine subgroups and interactions</w:t>
            </w:r>
          </w:p>
        </w:tc>
        <w:tc>
          <w:tcPr>
            <w:tcW w:w="2160" w:type="dxa"/>
          </w:tcPr>
          <w:p w14:paraId="5AB44274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Methods §2.6 / Results (residents vs PGY reported separately; descriptive)</w:t>
            </w:r>
          </w:p>
        </w:tc>
      </w:tr>
      <w:tr w:rsidR="00FC3887" w:rsidRPr="00FC3887" w14:paraId="50892B73" w14:textId="77777777">
        <w:tc>
          <w:tcPr>
            <w:tcW w:w="2160" w:type="dxa"/>
          </w:tcPr>
          <w:p w14:paraId="7FA70805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5EBA446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12c</w:t>
            </w:r>
          </w:p>
        </w:tc>
        <w:tc>
          <w:tcPr>
            <w:tcW w:w="2160" w:type="dxa"/>
          </w:tcPr>
          <w:p w14:paraId="7C09E007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Explain how missing data were addressed</w:t>
            </w:r>
          </w:p>
        </w:tc>
        <w:tc>
          <w:tcPr>
            <w:tcW w:w="2160" w:type="dxa"/>
          </w:tcPr>
          <w:p w14:paraId="21E45B24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Methods §2.2 (no dropouts; one resident missing survey → n=8; denominators stated)</w:t>
            </w:r>
          </w:p>
        </w:tc>
      </w:tr>
      <w:tr w:rsidR="00FC3887" w:rsidRPr="00FC3887" w14:paraId="4AAB899A" w14:textId="77777777">
        <w:tc>
          <w:tcPr>
            <w:tcW w:w="2160" w:type="dxa"/>
          </w:tcPr>
          <w:p w14:paraId="3954BD89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2F7F3AF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12d</w:t>
            </w:r>
          </w:p>
        </w:tc>
        <w:tc>
          <w:tcPr>
            <w:tcW w:w="2160" w:type="dxa"/>
          </w:tcPr>
          <w:p w14:paraId="7D4C3BEA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(Cohort) loss to follow-up — not applicable (no follow-up losses; single session)</w:t>
            </w:r>
          </w:p>
        </w:tc>
        <w:tc>
          <w:tcPr>
            <w:tcW w:w="2160" w:type="dxa"/>
          </w:tcPr>
          <w:p w14:paraId="70A37AD1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Methods §2.2 (no dropouts)</w:t>
            </w:r>
          </w:p>
        </w:tc>
      </w:tr>
      <w:tr w:rsidR="00FC3887" w:rsidRPr="00FC3887" w14:paraId="6371760B" w14:textId="77777777">
        <w:tc>
          <w:tcPr>
            <w:tcW w:w="2160" w:type="dxa"/>
          </w:tcPr>
          <w:p w14:paraId="31CAC585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B083A5C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12e</w:t>
            </w:r>
          </w:p>
        </w:tc>
        <w:tc>
          <w:tcPr>
            <w:tcW w:w="2160" w:type="dxa"/>
          </w:tcPr>
          <w:p w14:paraId="15B3BA5C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Describe any sensitivity analyses</w:t>
            </w:r>
          </w:p>
        </w:tc>
        <w:tc>
          <w:tcPr>
            <w:tcW w:w="2160" w:type="dxa"/>
          </w:tcPr>
          <w:p w14:paraId="2B011438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Methods §2.6 (Wilcoxon signed-rank sensitivity for primary continuous outcomes)</w:t>
            </w:r>
          </w:p>
        </w:tc>
      </w:tr>
      <w:tr w:rsidR="00FC3887" w:rsidRPr="00FC3887" w14:paraId="634D676A" w14:textId="77777777">
        <w:tc>
          <w:tcPr>
            <w:tcW w:w="2160" w:type="dxa"/>
          </w:tcPr>
          <w:p w14:paraId="12CA6BB3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b/>
                <w:sz w:val="16"/>
              </w:rPr>
              <w:t>RESULTS</w:t>
            </w:r>
          </w:p>
        </w:tc>
        <w:tc>
          <w:tcPr>
            <w:tcW w:w="2160" w:type="dxa"/>
          </w:tcPr>
          <w:p w14:paraId="7A92747C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5F8BBDAB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EF83672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</w:tr>
      <w:tr w:rsidR="00FC3887" w:rsidRPr="00FC3887" w14:paraId="71577A6D" w14:textId="77777777">
        <w:tc>
          <w:tcPr>
            <w:tcW w:w="2160" w:type="dxa"/>
          </w:tcPr>
          <w:p w14:paraId="2B852999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Participants</w:t>
            </w:r>
          </w:p>
        </w:tc>
        <w:tc>
          <w:tcPr>
            <w:tcW w:w="2160" w:type="dxa"/>
          </w:tcPr>
          <w:p w14:paraId="2E998F20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13a</w:t>
            </w:r>
          </w:p>
        </w:tc>
        <w:tc>
          <w:tcPr>
            <w:tcW w:w="2160" w:type="dxa"/>
          </w:tcPr>
          <w:p w14:paraId="54148F79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Report numbers at each stage (eligible, examined, confirmed eligible, included, completing, analysed)</w:t>
            </w:r>
          </w:p>
        </w:tc>
        <w:tc>
          <w:tcPr>
            <w:tcW w:w="2160" w:type="dxa"/>
          </w:tcPr>
          <w:p w14:paraId="33D0EE6C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Results §3.1; Figure 1; Methods §2.2 (22 enrolled; paired n=7; US-phase n=9; surveys 8+13)</w:t>
            </w:r>
          </w:p>
        </w:tc>
      </w:tr>
      <w:tr w:rsidR="00FC3887" w:rsidRPr="00FC3887" w14:paraId="35D45965" w14:textId="77777777">
        <w:tc>
          <w:tcPr>
            <w:tcW w:w="2160" w:type="dxa"/>
          </w:tcPr>
          <w:p w14:paraId="44009598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577B492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13b</w:t>
            </w:r>
          </w:p>
        </w:tc>
        <w:tc>
          <w:tcPr>
            <w:tcW w:w="2160" w:type="dxa"/>
          </w:tcPr>
          <w:p w14:paraId="3C572266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Give reasons for non-participation at each stage</w:t>
            </w:r>
          </w:p>
        </w:tc>
        <w:tc>
          <w:tcPr>
            <w:tcW w:w="2160" w:type="dxa"/>
          </w:tcPr>
          <w:p w14:paraId="75CF8954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Methods §2.2 (PGY not OSCE-assessed – resource constraints; 2 residents joined late)</w:t>
            </w:r>
          </w:p>
        </w:tc>
      </w:tr>
      <w:tr w:rsidR="00FC3887" w:rsidRPr="00FC3887" w14:paraId="70FDE43F" w14:textId="77777777">
        <w:tc>
          <w:tcPr>
            <w:tcW w:w="2160" w:type="dxa"/>
          </w:tcPr>
          <w:p w14:paraId="2E765787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D0895BC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13c</w:t>
            </w:r>
          </w:p>
        </w:tc>
        <w:tc>
          <w:tcPr>
            <w:tcW w:w="2160" w:type="dxa"/>
          </w:tcPr>
          <w:p w14:paraId="1D650FE9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Consider use of a flow diagram</w:t>
            </w:r>
          </w:p>
        </w:tc>
        <w:tc>
          <w:tcPr>
            <w:tcW w:w="2160" w:type="dxa"/>
          </w:tcPr>
          <w:p w14:paraId="4920237A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Figure 1 (participant flow diagram)</w:t>
            </w:r>
          </w:p>
        </w:tc>
      </w:tr>
      <w:tr w:rsidR="00FC3887" w:rsidRPr="00FC3887" w14:paraId="486D6A85" w14:textId="77777777">
        <w:tc>
          <w:tcPr>
            <w:tcW w:w="2160" w:type="dxa"/>
          </w:tcPr>
          <w:p w14:paraId="572A386D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Descriptive data</w:t>
            </w:r>
          </w:p>
        </w:tc>
        <w:tc>
          <w:tcPr>
            <w:tcW w:w="2160" w:type="dxa"/>
          </w:tcPr>
          <w:p w14:paraId="09C38B09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14a</w:t>
            </w:r>
          </w:p>
        </w:tc>
        <w:tc>
          <w:tcPr>
            <w:tcW w:w="2160" w:type="dxa"/>
          </w:tcPr>
          <w:p w14:paraId="2DB99F27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Give characteristics of study participants and information on exposures/potential confounders</w:t>
            </w:r>
          </w:p>
        </w:tc>
        <w:tc>
          <w:tcPr>
            <w:tcW w:w="2160" w:type="dxa"/>
          </w:tcPr>
          <w:p w14:paraId="451B6E90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Methods §2.2 (experience, prior LPs); Results §3.1–3.2; Tables 1–3</w:t>
            </w:r>
          </w:p>
        </w:tc>
      </w:tr>
      <w:tr w:rsidR="00FC3887" w:rsidRPr="00FC3887" w14:paraId="43A48828" w14:textId="77777777">
        <w:tc>
          <w:tcPr>
            <w:tcW w:w="2160" w:type="dxa"/>
          </w:tcPr>
          <w:p w14:paraId="289C52D9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0232334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14b</w:t>
            </w:r>
          </w:p>
        </w:tc>
        <w:tc>
          <w:tcPr>
            <w:tcW w:w="2160" w:type="dxa"/>
          </w:tcPr>
          <w:p w14:paraId="2F0A4999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Indicate number of participants with missing data for each variable</w:t>
            </w:r>
          </w:p>
        </w:tc>
        <w:tc>
          <w:tcPr>
            <w:tcW w:w="2160" w:type="dxa"/>
          </w:tcPr>
          <w:p w14:paraId="38B645E7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Methods §2.2 (n=8 residents for surveys; denominators per outcome)</w:t>
            </w:r>
          </w:p>
        </w:tc>
      </w:tr>
      <w:tr w:rsidR="00FC3887" w:rsidRPr="00FC3887" w14:paraId="43C6F15B" w14:textId="77777777">
        <w:tc>
          <w:tcPr>
            <w:tcW w:w="2160" w:type="dxa"/>
          </w:tcPr>
          <w:p w14:paraId="1A084D30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Outcome data</w:t>
            </w:r>
          </w:p>
        </w:tc>
        <w:tc>
          <w:tcPr>
            <w:tcW w:w="2160" w:type="dxa"/>
          </w:tcPr>
          <w:p w14:paraId="4B85D812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2160" w:type="dxa"/>
          </w:tcPr>
          <w:p w14:paraId="68BEF5C4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Report numbers of outcome events or summary measures</w:t>
            </w:r>
          </w:p>
        </w:tc>
        <w:tc>
          <w:tcPr>
            <w:tcW w:w="2160" w:type="dxa"/>
          </w:tcPr>
          <w:p w14:paraId="00E74822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Results §3.1 (OSCE); Tables 1–3</w:t>
            </w:r>
          </w:p>
        </w:tc>
      </w:tr>
      <w:tr w:rsidR="00FC3887" w:rsidRPr="00FC3887" w14:paraId="6920AF61" w14:textId="77777777">
        <w:tc>
          <w:tcPr>
            <w:tcW w:w="2160" w:type="dxa"/>
          </w:tcPr>
          <w:p w14:paraId="422601F5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Main results</w:t>
            </w:r>
          </w:p>
        </w:tc>
        <w:tc>
          <w:tcPr>
            <w:tcW w:w="2160" w:type="dxa"/>
          </w:tcPr>
          <w:p w14:paraId="4725E766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16a</w:t>
            </w:r>
          </w:p>
        </w:tc>
        <w:tc>
          <w:tcPr>
            <w:tcW w:w="2160" w:type="dxa"/>
          </w:tcPr>
          <w:p w14:paraId="142B1444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Give unadjusted estimates and, if applicable, confounder-adjusted estimates and their precision</w:t>
            </w:r>
          </w:p>
        </w:tc>
        <w:tc>
          <w:tcPr>
            <w:tcW w:w="2160" w:type="dxa"/>
          </w:tcPr>
          <w:p w14:paraId="53B530DF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Results §3.1 (means ± SD, p-values, Cohen’s d); Table 1</w:t>
            </w:r>
          </w:p>
        </w:tc>
      </w:tr>
      <w:tr w:rsidR="00FC3887" w:rsidRPr="00FC3887" w14:paraId="567666A7" w14:textId="77777777">
        <w:tc>
          <w:tcPr>
            <w:tcW w:w="2160" w:type="dxa"/>
          </w:tcPr>
          <w:p w14:paraId="25F50A4F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4994C05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16b</w:t>
            </w:r>
          </w:p>
        </w:tc>
        <w:tc>
          <w:tcPr>
            <w:tcW w:w="2160" w:type="dxa"/>
          </w:tcPr>
          <w:p w14:paraId="4806350E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Report category boundaries when continuous variables were categorized</w:t>
            </w:r>
          </w:p>
        </w:tc>
        <w:tc>
          <w:tcPr>
            <w:tcW w:w="2160" w:type="dxa"/>
          </w:tcPr>
          <w:p w14:paraId="312E40BD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Not applicable (continuous outcomes not categorized; completion is inherently binary)</w:t>
            </w:r>
          </w:p>
        </w:tc>
      </w:tr>
      <w:tr w:rsidR="00FC3887" w:rsidRPr="00FC3887" w14:paraId="1084106B" w14:textId="77777777">
        <w:tc>
          <w:tcPr>
            <w:tcW w:w="2160" w:type="dxa"/>
          </w:tcPr>
          <w:p w14:paraId="174D0643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0F5F9E8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16c</w:t>
            </w:r>
          </w:p>
        </w:tc>
        <w:tc>
          <w:tcPr>
            <w:tcW w:w="2160" w:type="dxa"/>
          </w:tcPr>
          <w:p w14:paraId="7780EA48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Translate relative risk into absolute risk for a meaningful time period if relevant</w:t>
            </w:r>
          </w:p>
        </w:tc>
        <w:tc>
          <w:tcPr>
            <w:tcW w:w="2160" w:type="dxa"/>
          </w:tcPr>
          <w:p w14:paraId="27A8C46B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Not applicable (educational/simulation outcomes)</w:t>
            </w:r>
          </w:p>
        </w:tc>
      </w:tr>
      <w:tr w:rsidR="00FC3887" w:rsidRPr="00FC3887" w14:paraId="0C78AF5C" w14:textId="77777777">
        <w:tc>
          <w:tcPr>
            <w:tcW w:w="2160" w:type="dxa"/>
          </w:tcPr>
          <w:p w14:paraId="3576A0A7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Other analyses</w:t>
            </w:r>
          </w:p>
        </w:tc>
        <w:tc>
          <w:tcPr>
            <w:tcW w:w="2160" w:type="dxa"/>
          </w:tcPr>
          <w:p w14:paraId="22FE00F5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2160" w:type="dxa"/>
          </w:tcPr>
          <w:p w14:paraId="05778C20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Report other analyses done (subgroups, interactions, sensitivity)</w:t>
            </w:r>
          </w:p>
        </w:tc>
        <w:tc>
          <w:tcPr>
            <w:tcW w:w="2160" w:type="dxa"/>
          </w:tcPr>
          <w:p w14:paraId="56476849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Results §3.1 (all-9 Panel B); Methods §2.6 (Wilcoxon sensitivity)</w:t>
            </w:r>
          </w:p>
        </w:tc>
      </w:tr>
      <w:tr w:rsidR="00FC3887" w:rsidRPr="00FC3887" w14:paraId="3D9628F8" w14:textId="77777777">
        <w:tc>
          <w:tcPr>
            <w:tcW w:w="2160" w:type="dxa"/>
          </w:tcPr>
          <w:p w14:paraId="0CEC130C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b/>
                <w:sz w:val="16"/>
              </w:rPr>
              <w:t>DISCUSSION</w:t>
            </w:r>
          </w:p>
        </w:tc>
        <w:tc>
          <w:tcPr>
            <w:tcW w:w="2160" w:type="dxa"/>
          </w:tcPr>
          <w:p w14:paraId="57A376CB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351135DE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704C639B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</w:tr>
      <w:tr w:rsidR="00FC3887" w:rsidRPr="00FC3887" w14:paraId="60E7EB30" w14:textId="77777777">
        <w:tc>
          <w:tcPr>
            <w:tcW w:w="2160" w:type="dxa"/>
          </w:tcPr>
          <w:p w14:paraId="44AE8F14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Key results</w:t>
            </w:r>
          </w:p>
        </w:tc>
        <w:tc>
          <w:tcPr>
            <w:tcW w:w="2160" w:type="dxa"/>
          </w:tcPr>
          <w:p w14:paraId="77B3DC10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2160" w:type="dxa"/>
          </w:tcPr>
          <w:p w14:paraId="4A0E3DEF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Summarise key results with reference to study objectives</w:t>
            </w:r>
          </w:p>
        </w:tc>
        <w:tc>
          <w:tcPr>
            <w:tcW w:w="2160" w:type="dxa"/>
          </w:tcPr>
          <w:p w14:paraId="1F6AD7DD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Discussion §4.1</w:t>
            </w:r>
          </w:p>
        </w:tc>
      </w:tr>
      <w:tr w:rsidR="00FC3887" w:rsidRPr="00FC3887" w14:paraId="6517DCA5" w14:textId="77777777">
        <w:tc>
          <w:tcPr>
            <w:tcW w:w="2160" w:type="dxa"/>
          </w:tcPr>
          <w:p w14:paraId="3C36693A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Limitations</w:t>
            </w:r>
          </w:p>
        </w:tc>
        <w:tc>
          <w:tcPr>
            <w:tcW w:w="2160" w:type="dxa"/>
          </w:tcPr>
          <w:p w14:paraId="0E6FB947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2160" w:type="dxa"/>
          </w:tcPr>
          <w:p w14:paraId="6F239F26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Discuss limitations, sources of bias/imprecision, direction and magnitude of bias</w:t>
            </w:r>
          </w:p>
        </w:tc>
        <w:tc>
          <w:tcPr>
            <w:tcW w:w="2160" w:type="dxa"/>
          </w:tcPr>
          <w:p w14:paraId="449D6426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Discussion §4.4 (sequential design/confounding, no PGY OSCE, small n, non-blinding, single-item measures)</w:t>
            </w:r>
          </w:p>
        </w:tc>
      </w:tr>
      <w:tr w:rsidR="00FC3887" w:rsidRPr="00FC3887" w14:paraId="13DEB881" w14:textId="77777777">
        <w:tc>
          <w:tcPr>
            <w:tcW w:w="2160" w:type="dxa"/>
          </w:tcPr>
          <w:p w14:paraId="5F7893C9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Interpretation</w:t>
            </w:r>
          </w:p>
        </w:tc>
        <w:tc>
          <w:tcPr>
            <w:tcW w:w="2160" w:type="dxa"/>
          </w:tcPr>
          <w:p w14:paraId="2FCA6ACD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2160" w:type="dxa"/>
          </w:tcPr>
          <w:p w14:paraId="036FF9B7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Give a cautious overall interpretation considering objectives, limitations, and other evidence</w:t>
            </w:r>
          </w:p>
        </w:tc>
        <w:tc>
          <w:tcPr>
            <w:tcW w:w="2160" w:type="dxa"/>
          </w:tcPr>
          <w:p w14:paraId="79CBA0A4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Discussion §4.1–4.3; Conclusion</w:t>
            </w:r>
          </w:p>
        </w:tc>
      </w:tr>
      <w:tr w:rsidR="00FC3887" w:rsidRPr="00FC3887" w14:paraId="26EB6B02" w14:textId="77777777">
        <w:tc>
          <w:tcPr>
            <w:tcW w:w="2160" w:type="dxa"/>
          </w:tcPr>
          <w:p w14:paraId="6258E954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Generalisability</w:t>
            </w:r>
          </w:p>
        </w:tc>
        <w:tc>
          <w:tcPr>
            <w:tcW w:w="2160" w:type="dxa"/>
          </w:tcPr>
          <w:p w14:paraId="07FC2BC3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2160" w:type="dxa"/>
          </w:tcPr>
          <w:p w14:paraId="70278F0F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Discuss the generalisability (external validity) of the study results</w:t>
            </w:r>
          </w:p>
        </w:tc>
        <w:tc>
          <w:tcPr>
            <w:tcW w:w="2160" w:type="dxa"/>
          </w:tcPr>
          <w:p w14:paraId="38A82DA2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Discussion §4.4–4.5 (single institution; requires multi-centre replication)</w:t>
            </w:r>
          </w:p>
        </w:tc>
      </w:tr>
      <w:tr w:rsidR="00FC3887" w:rsidRPr="00FC3887" w14:paraId="0BBC6036" w14:textId="77777777">
        <w:tc>
          <w:tcPr>
            <w:tcW w:w="2160" w:type="dxa"/>
          </w:tcPr>
          <w:p w14:paraId="3074E652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b/>
                <w:sz w:val="16"/>
              </w:rPr>
              <w:t>OTHER</w:t>
            </w:r>
          </w:p>
        </w:tc>
        <w:tc>
          <w:tcPr>
            <w:tcW w:w="2160" w:type="dxa"/>
          </w:tcPr>
          <w:p w14:paraId="0FB4B348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224E7C51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3803FAE1" w14:textId="77777777" w:rsidR="002704B3" w:rsidRPr="00FC3887" w:rsidRDefault="002704B3">
            <w:pPr>
              <w:rPr>
                <w:rFonts w:ascii="Times New Roman" w:hAnsi="Times New Roman" w:cs="Times New Roman"/>
              </w:rPr>
            </w:pPr>
          </w:p>
        </w:tc>
      </w:tr>
      <w:tr w:rsidR="00FC3887" w:rsidRPr="00FC3887" w14:paraId="1C85F21B" w14:textId="77777777">
        <w:tc>
          <w:tcPr>
            <w:tcW w:w="2160" w:type="dxa"/>
          </w:tcPr>
          <w:p w14:paraId="54C39C42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Funding</w:t>
            </w:r>
          </w:p>
        </w:tc>
        <w:tc>
          <w:tcPr>
            <w:tcW w:w="2160" w:type="dxa"/>
          </w:tcPr>
          <w:p w14:paraId="6F4E62FF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2160" w:type="dxa"/>
          </w:tcPr>
          <w:p w14:paraId="2D38B45E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Give the source of funding and the role of funders</w:t>
            </w:r>
          </w:p>
        </w:tc>
        <w:tc>
          <w:tcPr>
            <w:tcW w:w="2160" w:type="dxa"/>
          </w:tcPr>
          <w:p w14:paraId="736C4AFE" w14:textId="77777777" w:rsidR="002704B3" w:rsidRPr="00FC3887" w:rsidRDefault="0042132E">
            <w:pPr>
              <w:rPr>
                <w:rFonts w:ascii="Times New Roman" w:hAnsi="Times New Roman" w:cs="Times New Roman"/>
              </w:rPr>
            </w:pPr>
            <w:r w:rsidRPr="00FC3887">
              <w:rPr>
                <w:rFonts w:ascii="Times New Roman" w:hAnsi="Times New Roman" w:cs="Times New Roman"/>
                <w:sz w:val="16"/>
              </w:rPr>
              <w:t>Funding statement (no specific grant)</w:t>
            </w:r>
          </w:p>
        </w:tc>
      </w:tr>
    </w:tbl>
    <w:p w14:paraId="59A5A4CA" w14:textId="77777777" w:rsidR="002704B3" w:rsidRPr="00FC3887" w:rsidRDefault="002704B3">
      <w:pPr>
        <w:rPr>
          <w:rFonts w:ascii="Times New Roman" w:hAnsi="Times New Roman" w:cs="Times New Roman"/>
        </w:rPr>
      </w:pPr>
    </w:p>
    <w:p w14:paraId="42AFAEF3" w14:textId="77777777" w:rsidR="002704B3" w:rsidRPr="00A83767" w:rsidRDefault="0042132E">
      <w:pPr>
        <w:rPr>
          <w:rFonts w:ascii="Times New Roman" w:hAnsi="Times New Roman" w:cs="Times New Roman"/>
          <w:sz w:val="24"/>
          <w:szCs w:val="24"/>
        </w:rPr>
      </w:pPr>
      <w:r w:rsidRPr="00A83767">
        <w:rPr>
          <w:rFonts w:ascii="Times New Roman" w:hAnsi="Times New Roman" w:cs="Times New Roman"/>
          <w:i/>
          <w:sz w:val="24"/>
          <w:szCs w:val="24"/>
        </w:rPr>
        <w:t>Note: An Explanation and Elaboration article discusses each checklist item; STROBE checklist and the guidance are available at https://www.strobe-statement.org. Section numbers refer to the revised manuscript.</w:t>
      </w:r>
    </w:p>
    <w:sectPr w:rsidR="002704B3" w:rsidRPr="00A8376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D4471" w14:textId="77777777" w:rsidR="008E631F" w:rsidRDefault="008E631F" w:rsidP="00FC3887">
      <w:pPr>
        <w:spacing w:after="0" w:line="240" w:lineRule="auto"/>
      </w:pPr>
      <w:r>
        <w:separator/>
      </w:r>
    </w:p>
  </w:endnote>
  <w:endnote w:type="continuationSeparator" w:id="0">
    <w:p w14:paraId="128B8B25" w14:textId="77777777" w:rsidR="008E631F" w:rsidRDefault="008E631F" w:rsidP="00FC3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8E1C4" w14:textId="77777777" w:rsidR="008E631F" w:rsidRDefault="008E631F" w:rsidP="00FC3887">
      <w:pPr>
        <w:spacing w:after="0" w:line="240" w:lineRule="auto"/>
      </w:pPr>
      <w:r>
        <w:separator/>
      </w:r>
    </w:p>
  </w:footnote>
  <w:footnote w:type="continuationSeparator" w:id="0">
    <w:p w14:paraId="5CFF85F7" w14:textId="77777777" w:rsidR="008E631F" w:rsidRDefault="008E631F" w:rsidP="00FC38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0B59"/>
    <w:rsid w:val="0015074B"/>
    <w:rsid w:val="00207A79"/>
    <w:rsid w:val="002704B3"/>
    <w:rsid w:val="0029639D"/>
    <w:rsid w:val="00326F90"/>
    <w:rsid w:val="0042132E"/>
    <w:rsid w:val="0050137D"/>
    <w:rsid w:val="005514EC"/>
    <w:rsid w:val="008E631F"/>
    <w:rsid w:val="00A83767"/>
    <w:rsid w:val="00AA1D8D"/>
    <w:rsid w:val="00B47730"/>
    <w:rsid w:val="00CB0664"/>
    <w:rsid w:val="00FC38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8460A81"/>
  <w14:defaultImageDpi w14:val="300"/>
  <w15:docId w15:val="{16B0C22A-2846-4EAB-AFA3-E0FA38D0F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中臺科大-陳柏銘</cp:lastModifiedBy>
  <cp:revision>6</cp:revision>
  <dcterms:created xsi:type="dcterms:W3CDTF">2013-12-23T23:15:00Z</dcterms:created>
  <dcterms:modified xsi:type="dcterms:W3CDTF">2026-07-21T16:58:00Z</dcterms:modified>
  <cp:category/>
</cp:coreProperties>
</file>